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keepNext w:val="0"/>
        <w:keepLines w:val="0"/>
        <w:pageBreakBefore w:val="0"/>
        <w:widowControl w:val="0"/>
        <w:shd w:val="clear" w:color="auto" w:fill="auto"/>
        <w:kinsoku/>
        <w:wordWrap/>
        <w:overflowPunct/>
        <w:topLinePunct w:val="0"/>
        <w:autoSpaceDE/>
        <w:autoSpaceDN/>
        <w:bidi w:val="0"/>
        <w:adjustRightInd/>
        <w:snapToGrid/>
        <w:spacing w:before="0" w:line="500" w:lineRule="exact"/>
        <w:ind w:left="0" w:leftChars="0" w:right="0" w:rightChars="0" w:firstLine="1767" w:firstLineChars="400"/>
        <w:jc w:val="both"/>
        <w:textAlignment w:val="auto"/>
        <w:outlineLvl w:val="9"/>
        <w:rPr>
          <w:rFonts w:hint="eastAsia" w:ascii="宋体" w:hAnsi="宋体" w:eastAsia="宋体" w:cs="宋体"/>
          <w:b/>
          <w:bCs/>
          <w:spacing w:val="0"/>
          <w:sz w:val="44"/>
          <w:szCs w:val="44"/>
          <w:lang w:val="en-US" w:eastAsia="zh-CN"/>
        </w:rPr>
      </w:pPr>
      <w:r>
        <w:rPr>
          <w:rFonts w:hint="eastAsia" w:ascii="宋体" w:hAnsi="宋体" w:eastAsia="宋体" w:cs="宋体"/>
          <w:b/>
          <w:bCs/>
          <w:spacing w:val="0"/>
          <w:sz w:val="44"/>
          <w:szCs w:val="44"/>
          <w:lang w:val="en-US" w:eastAsia="zh-CN"/>
        </w:rPr>
        <w:t>2021年农业废弃物农膜利用</w:t>
      </w:r>
    </w:p>
    <w:p>
      <w:pPr>
        <w:pStyle w:val="8"/>
        <w:keepNext w:val="0"/>
        <w:keepLines w:val="0"/>
        <w:pageBreakBefore w:val="0"/>
        <w:widowControl w:val="0"/>
        <w:shd w:val="clear" w:color="auto" w:fill="auto"/>
        <w:kinsoku/>
        <w:wordWrap/>
        <w:overflowPunct/>
        <w:topLinePunct w:val="0"/>
        <w:autoSpaceDE/>
        <w:autoSpaceDN/>
        <w:bidi w:val="0"/>
        <w:adjustRightInd/>
        <w:snapToGrid/>
        <w:spacing w:before="0" w:line="500" w:lineRule="exact"/>
        <w:ind w:left="0" w:leftChars="0" w:right="0" w:rightChars="0" w:firstLine="0" w:firstLineChars="0"/>
        <w:jc w:val="center"/>
        <w:textAlignment w:val="auto"/>
        <w:outlineLvl w:val="9"/>
        <w:rPr>
          <w:rFonts w:hint="eastAsia" w:ascii="宋体" w:hAnsi="宋体" w:eastAsia="宋体" w:cs="宋体"/>
          <w:b/>
          <w:bCs/>
          <w:spacing w:val="0"/>
          <w:w w:val="100"/>
          <w:sz w:val="44"/>
          <w:szCs w:val="44"/>
          <w:lang w:val="en-US" w:eastAsia="zh-CN"/>
        </w:rPr>
      </w:pPr>
      <w:r>
        <w:rPr>
          <w:rFonts w:hint="eastAsia" w:ascii="宋体" w:hAnsi="宋体" w:eastAsia="宋体" w:cs="宋体"/>
          <w:b/>
          <w:bCs/>
          <w:spacing w:val="0"/>
          <w:w w:val="100"/>
          <w:sz w:val="44"/>
          <w:szCs w:val="44"/>
          <w:lang w:val="en-US" w:eastAsia="zh-CN"/>
        </w:rPr>
        <w:t>实施方案</w:t>
      </w:r>
    </w:p>
    <w:p>
      <w:pPr>
        <w:pStyle w:val="9"/>
        <w:keepNext/>
        <w:keepLines/>
        <w:widowControl w:val="0"/>
        <w:shd w:val="clear" w:color="auto" w:fill="auto"/>
        <w:wordWrap/>
        <w:adjustRightInd/>
        <w:snapToGrid/>
        <w:spacing w:after="0" w:line="590" w:lineRule="exact"/>
        <w:ind w:left="0" w:leftChars="0" w:right="0" w:firstLine="675" w:firstLineChars="225"/>
        <w:jc w:val="both"/>
        <w:rPr>
          <w:rFonts w:hint="eastAsia" w:ascii="黑体" w:hAnsi="黑体" w:eastAsia="黑体" w:cs="黑体"/>
          <w:b w:val="0"/>
          <w:bCs/>
          <w:sz w:val="32"/>
          <w:szCs w:val="32"/>
          <w:lang w:val="en-US" w:eastAsia="zh-CN"/>
        </w:rPr>
      </w:pPr>
      <w:bookmarkStart w:id="0" w:name="bookmark5"/>
    </w:p>
    <w:p>
      <w:pPr>
        <w:pStyle w:val="9"/>
        <w:keepNext/>
        <w:keepLines/>
        <w:widowControl w:val="0"/>
        <w:shd w:val="clear" w:color="auto" w:fill="auto"/>
        <w:wordWrap/>
        <w:adjustRightInd/>
        <w:snapToGrid/>
        <w:spacing w:after="0" w:line="590" w:lineRule="exact"/>
        <w:ind w:left="0" w:leftChars="0" w:right="0" w:firstLine="675" w:firstLineChars="225"/>
        <w:jc w:val="both"/>
        <w:rPr>
          <w:rFonts w:hint="eastAsia" w:ascii="黑体" w:hAnsi="黑体" w:eastAsia="黑体" w:cs="黑体"/>
          <w:b w:val="0"/>
          <w:bCs/>
          <w:sz w:val="32"/>
          <w:szCs w:val="32"/>
        </w:rPr>
      </w:pPr>
      <w:bookmarkStart w:id="13" w:name="_GoBack"/>
      <w:bookmarkEnd w:id="13"/>
      <w:r>
        <w:rPr>
          <w:rFonts w:hint="eastAsia" w:ascii="黑体" w:hAnsi="黑体" w:eastAsia="黑体" w:cs="黑体"/>
          <w:b w:val="0"/>
          <w:bCs/>
          <w:sz w:val="32"/>
          <w:szCs w:val="32"/>
          <w:lang w:val="en-US" w:eastAsia="zh-CN"/>
        </w:rPr>
        <w:t>一</w:t>
      </w:r>
      <w:r>
        <w:rPr>
          <w:rFonts w:hint="eastAsia" w:ascii="黑体" w:hAnsi="黑体" w:eastAsia="黑体" w:cs="黑体"/>
          <w:b w:val="0"/>
          <w:bCs/>
          <w:sz w:val="32"/>
          <w:szCs w:val="32"/>
        </w:rPr>
        <w:t>、项目建设方案</w:t>
      </w:r>
      <w:bookmarkEnd w:id="0"/>
    </w:p>
    <w:p>
      <w:pPr>
        <w:pStyle w:val="10"/>
        <w:keepNext/>
        <w:keepLines/>
        <w:widowControl w:val="0"/>
        <w:shd w:val="clear" w:color="auto" w:fill="auto"/>
        <w:wordWrap/>
        <w:adjustRightInd/>
        <w:snapToGrid/>
        <w:spacing w:after="0" w:line="590" w:lineRule="exact"/>
        <w:ind w:left="0" w:leftChars="0" w:right="0" w:firstLine="640" w:firstLineChars="200"/>
        <w:jc w:val="both"/>
        <w:rPr>
          <w:rStyle w:val="11"/>
          <w:rFonts w:hint="eastAsia" w:ascii="楷体_GB2312" w:hAnsi="楷体_GB2312" w:eastAsia="楷体_GB2312" w:cs="楷体_GB2312"/>
          <w:b w:val="0"/>
          <w:bCs w:val="0"/>
          <w:sz w:val="32"/>
          <w:szCs w:val="32"/>
          <w:lang w:val="en-US" w:eastAsia="zh-CN"/>
        </w:rPr>
      </w:pPr>
      <w:bookmarkStart w:id="1" w:name="bookmark6"/>
      <w:r>
        <w:rPr>
          <w:rStyle w:val="11"/>
          <w:rFonts w:hint="eastAsia" w:ascii="楷体_GB2312" w:hAnsi="楷体_GB2312" w:eastAsia="楷体_GB2312" w:cs="楷体_GB2312"/>
          <w:b w:val="0"/>
          <w:bCs w:val="0"/>
          <w:sz w:val="32"/>
          <w:szCs w:val="32"/>
          <w:lang w:val="en-US" w:eastAsia="zh-CN"/>
        </w:rPr>
        <w:t>1、项目目标</w:t>
      </w:r>
      <w:bookmarkEnd w:id="1"/>
    </w:p>
    <w:p>
      <w:pPr>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通过实施该项目，可实现农膜回收及利用，有效解决农膜乱堆乱放带来的环境问题，形成资源利用的良性循环，改善农业生态环境。探索农膜回收途径及运行激励机制，全面推进农作物农膜综合利用进程，试点市域内农膜利用率达到80%以上。</w:t>
      </w:r>
    </w:p>
    <w:p>
      <w:pPr>
        <w:pStyle w:val="10"/>
        <w:keepNext/>
        <w:keepLines/>
        <w:pageBreakBefore w:val="0"/>
        <w:widowControl w:val="0"/>
        <w:shd w:val="clear" w:color="auto" w:fill="auto"/>
        <w:kinsoku/>
        <w:wordWrap/>
        <w:overflowPunct/>
        <w:topLinePunct w:val="0"/>
        <w:autoSpaceDE/>
        <w:autoSpaceDN/>
        <w:bidi w:val="0"/>
        <w:adjustRightInd/>
        <w:snapToGrid/>
        <w:spacing w:after="0" w:line="560" w:lineRule="exact"/>
        <w:ind w:left="0" w:leftChars="0" w:right="0" w:rightChars="0" w:firstLine="640" w:firstLineChars="200"/>
        <w:jc w:val="both"/>
        <w:textAlignment w:val="auto"/>
        <w:rPr>
          <w:rStyle w:val="11"/>
          <w:rFonts w:hint="eastAsia" w:ascii="楷体_GB2312" w:hAnsi="楷体_GB2312" w:eastAsia="楷体_GB2312" w:cs="楷体_GB2312"/>
          <w:b w:val="0"/>
          <w:bCs w:val="0"/>
          <w:sz w:val="32"/>
          <w:szCs w:val="32"/>
          <w:lang w:val="en-US" w:eastAsia="zh-CN"/>
        </w:rPr>
      </w:pPr>
      <w:bookmarkStart w:id="2" w:name="bookmark7"/>
      <w:r>
        <w:rPr>
          <w:rStyle w:val="11"/>
          <w:rFonts w:hint="eastAsia" w:ascii="楷体_GB2312" w:hAnsi="楷体_GB2312" w:eastAsia="楷体_GB2312" w:cs="楷体_GB2312"/>
          <w:b w:val="0"/>
          <w:bCs w:val="0"/>
          <w:sz w:val="32"/>
          <w:szCs w:val="32"/>
          <w:lang w:val="en-US" w:eastAsia="zh-CN"/>
        </w:rPr>
        <w:t>2、项目实施单位基本情况及实施地点和规模</w:t>
      </w:r>
      <w:bookmarkEnd w:id="2"/>
    </w:p>
    <w:p>
      <w:pPr>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2.1项目实施单位基本情况</w:t>
      </w:r>
    </w:p>
    <w:p>
      <w:pPr>
        <w:keepNext w:val="0"/>
        <w:keepLines w:val="0"/>
        <w:pageBreakBefore w:val="0"/>
        <w:widowControl w:val="0"/>
        <w:numPr>
          <w:ilvl w:val="0"/>
          <w:numId w:val="0"/>
        </w:numPr>
        <w:kinsoku/>
        <w:wordWrap/>
        <w:overflowPunct/>
        <w:topLinePunct w:val="0"/>
        <w:autoSpaceDE/>
        <w:autoSpaceDN/>
        <w:bidi w:val="0"/>
        <w:adjustRightInd/>
        <w:snapToGrid/>
        <w:spacing w:line="260" w:lineRule="atLeast"/>
        <w:ind w:left="0" w:leftChars="0" w:right="0" w:rightChars="0" w:firstLine="640" w:firstLineChars="200"/>
        <w:jc w:val="both"/>
        <w:textAlignment w:val="auto"/>
        <w:rPr>
          <w:rFonts w:hint="eastAsia" w:ascii="仿宋" w:hAnsi="仿宋" w:eastAsia="仿宋" w:cs="仿宋"/>
          <w:sz w:val="32"/>
          <w:szCs w:val="32"/>
          <w:lang w:val="en-US" w:eastAsia="zh-CN"/>
        </w:rPr>
      </w:pPr>
      <w:bookmarkStart w:id="3" w:name="_Toc30617"/>
      <w:bookmarkStart w:id="4" w:name="_Toc5579"/>
      <w:bookmarkStart w:id="5" w:name="_Toc16863"/>
      <w:r>
        <w:rPr>
          <w:rFonts w:hint="eastAsia" w:ascii="仿宋" w:hAnsi="仿宋" w:eastAsia="仿宋" w:cs="仿宋"/>
          <w:sz w:val="32"/>
          <w:szCs w:val="32"/>
          <w:lang w:val="en-US" w:eastAsia="zh-CN"/>
        </w:rPr>
        <w:t>永济市农业农村局是永济市人民政府组成单位，其主要职责是：</w:t>
      </w:r>
      <w:bookmarkEnd w:id="3"/>
      <w:bookmarkEnd w:id="4"/>
      <w:bookmarkEnd w:id="5"/>
      <w:r>
        <w:rPr>
          <w:rFonts w:hint="eastAsia" w:ascii="仿宋" w:hAnsi="仿宋" w:eastAsia="仿宋" w:cs="仿宋"/>
          <w:sz w:val="32"/>
          <w:szCs w:val="32"/>
          <w:lang w:val="en-US" w:eastAsia="zh-CN"/>
        </w:rPr>
        <w:t>统筹研究和组织实施全市“三农”</w:t>
      </w:r>
      <w:r>
        <w:rPr>
          <w:rFonts w:hint="eastAsia" w:ascii="仿宋" w:hAnsi="仿宋" w:eastAsia="仿宋" w:cs="仿宋"/>
          <w:color w:val="000000"/>
          <w:spacing w:val="20"/>
          <w:sz w:val="32"/>
          <w:szCs w:val="32"/>
          <w:lang w:val="en-US" w:eastAsia="zh-CN" w:bidi="ar-SA"/>
        </w:rPr>
        <w:t>工作的发</w:t>
      </w:r>
      <w:r>
        <w:rPr>
          <w:rFonts w:hint="eastAsia" w:ascii="仿宋" w:hAnsi="仿宋" w:eastAsia="仿宋" w:cs="仿宋"/>
          <w:sz w:val="32"/>
          <w:szCs w:val="32"/>
          <w:lang w:val="en-US" w:eastAsia="zh-CN"/>
        </w:rPr>
        <w:t>展战略、中长期规划、重大政策。组织协调推进全市乡村振兴战略实施,统筹推动发展农村社会事业、农村公共服务、农村文化、农村基础设施和乡村治理。组织实施深化全市农村经济体制改革和巩固完善农村基本经营制度的政策落实。指导乡村特色产业、农产品加工业、休闲农业、城郊农业以及新产业新业态发展工作。负责全市种植业、畜牧业、渔业、农垦、农业机械化等农业各产业的监督管理。负责农产品质量安全监督管理。组织农业资源市划工作。负责有关农业生产资料和农业投入品的监督管理。负责农业防灾减灾、农作物重大病虫害防治工作。负责农业投资管理。推动农业科技体制改革和农业科技创新体系建设。指导农业农村人才工作。牵头开展全市农业对外合作工作。完成市委市政府交办的其它任务。</w:t>
      </w:r>
    </w:p>
    <w:p>
      <w:pPr>
        <w:keepNext w:val="0"/>
        <w:keepLines w:val="0"/>
        <w:pageBreakBefore w:val="0"/>
        <w:widowControl w:val="0"/>
        <w:numPr>
          <w:ilvl w:val="0"/>
          <w:numId w:val="0"/>
        </w:numPr>
        <w:kinsoku/>
        <w:wordWrap/>
        <w:overflowPunct/>
        <w:topLinePunct w:val="0"/>
        <w:autoSpaceDE/>
        <w:autoSpaceDN/>
        <w:bidi w:val="0"/>
        <w:adjustRightInd/>
        <w:snapToGrid/>
        <w:spacing w:line="260" w:lineRule="atLeast"/>
        <w:ind w:left="0" w:leftChars="0" w:right="0" w:rightChars="0"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2.2项目实施地点：</w:t>
      </w:r>
    </w:p>
    <w:p>
      <w:pPr>
        <w:pStyle w:val="14"/>
        <w:keepNext w:val="0"/>
        <w:keepLines w:val="0"/>
        <w:pageBreakBefore w:val="0"/>
        <w:widowControl w:val="0"/>
        <w:kinsoku/>
        <w:wordWrap/>
        <w:overflowPunct/>
        <w:topLinePunct w:val="0"/>
        <w:autoSpaceDE/>
        <w:autoSpaceDN/>
        <w:bidi w:val="0"/>
        <w:adjustRightInd/>
        <w:snapToGrid/>
        <w:spacing w:line="260" w:lineRule="atLeast"/>
        <w:ind w:left="0" w:leftChars="0" w:right="0" w:rightChars="0" w:firstLine="640"/>
        <w:textAlignment w:val="auto"/>
        <w:rPr>
          <w:rFonts w:hint="default" w:ascii="仿宋" w:hAnsi="仿宋" w:eastAsia="仿宋" w:cs="仿宋"/>
          <w:sz w:val="32"/>
          <w:szCs w:val="32"/>
          <w:lang w:val="en-US" w:eastAsia="zh-CN"/>
        </w:rPr>
      </w:pPr>
      <w:r>
        <w:rPr>
          <w:rFonts w:hint="eastAsia" w:ascii="仿宋" w:hAnsi="仿宋" w:eastAsia="仿宋" w:cs="仿宋"/>
          <w:kern w:val="2"/>
          <w:sz w:val="32"/>
          <w:szCs w:val="32"/>
          <w:lang w:val="en-US" w:eastAsia="zh-CN" w:bidi="ar-SA"/>
        </w:rPr>
        <w:t>永济市10个镇（街道）。</w:t>
      </w:r>
    </w:p>
    <w:p>
      <w:pPr>
        <w:keepNext w:val="0"/>
        <w:keepLines w:val="0"/>
        <w:pageBreakBefore w:val="0"/>
        <w:widowControl w:val="0"/>
        <w:numPr>
          <w:ilvl w:val="0"/>
          <w:numId w:val="0"/>
        </w:numPr>
        <w:kinsoku/>
        <w:wordWrap/>
        <w:overflowPunct/>
        <w:topLinePunct w:val="0"/>
        <w:autoSpaceDE/>
        <w:autoSpaceDN/>
        <w:bidi w:val="0"/>
        <w:adjustRightInd/>
        <w:snapToGrid/>
        <w:spacing w:line="260" w:lineRule="atLeast"/>
        <w:ind w:left="0" w:leftChars="0" w:right="0" w:rightChars="0"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2.3项目规模：</w:t>
      </w:r>
    </w:p>
    <w:p>
      <w:pPr>
        <w:keepNext w:val="0"/>
        <w:keepLines w:val="0"/>
        <w:pageBreakBefore w:val="0"/>
        <w:widowControl w:val="0"/>
        <w:kinsoku/>
        <w:wordWrap/>
        <w:overflowPunct/>
        <w:topLinePunct w:val="0"/>
        <w:autoSpaceDE/>
        <w:autoSpaceDN/>
        <w:bidi w:val="0"/>
        <w:adjustRightInd/>
        <w:snapToGrid/>
        <w:spacing w:line="260" w:lineRule="atLeast"/>
        <w:ind w:left="0" w:leftChars="0" w:right="0" w:rightChars="0" w:firstLine="640" w:firstLineChars="200"/>
        <w:textAlignment w:val="auto"/>
        <w:outlineLvl w:val="9"/>
        <w:rPr>
          <w:rFonts w:hint="eastAsia" w:ascii="仿宋" w:hAnsi="仿宋" w:eastAsia="仿宋" w:cs="仿宋"/>
          <w:b w:val="0"/>
          <w:bCs w:val="0"/>
          <w:sz w:val="32"/>
          <w:szCs w:val="32"/>
          <w:lang w:val="en-US" w:eastAsia="zh-CN"/>
        </w:rPr>
      </w:pPr>
      <w:r>
        <w:rPr>
          <w:rFonts w:hint="eastAsia" w:ascii="仿宋" w:hAnsi="仿宋" w:eastAsia="仿宋" w:cs="仿宋"/>
          <w:sz w:val="32"/>
          <w:szCs w:val="32"/>
          <w:lang w:val="en-US" w:eastAsia="zh-CN"/>
        </w:rPr>
        <w:t>租赁</w:t>
      </w:r>
      <w:r>
        <w:rPr>
          <w:rFonts w:hint="eastAsia" w:ascii="仿宋" w:hAnsi="仿宋" w:eastAsia="仿宋" w:cs="仿宋"/>
          <w:b w:val="0"/>
          <w:bCs w:val="0"/>
          <w:sz w:val="32"/>
          <w:szCs w:val="32"/>
          <w:lang w:val="en-US" w:eastAsia="zh-CN"/>
        </w:rPr>
        <w:t>收储站10个、收购废旧农膜120吨。</w:t>
      </w:r>
    </w:p>
    <w:p>
      <w:pPr>
        <w:keepNext w:val="0"/>
        <w:keepLines w:val="0"/>
        <w:pageBreakBefore w:val="0"/>
        <w:widowControl w:val="0"/>
        <w:numPr>
          <w:ilvl w:val="0"/>
          <w:numId w:val="1"/>
        </w:numPr>
        <w:kinsoku/>
        <w:wordWrap/>
        <w:overflowPunct/>
        <w:topLinePunct w:val="0"/>
        <w:autoSpaceDE/>
        <w:autoSpaceDN/>
        <w:bidi w:val="0"/>
        <w:adjustRightInd/>
        <w:snapToGrid/>
        <w:spacing w:line="260" w:lineRule="atLeast"/>
        <w:ind w:left="0" w:leftChars="0" w:right="0" w:rightChars="0" w:firstLine="640" w:firstLineChars="200"/>
        <w:jc w:val="both"/>
        <w:textAlignment w:val="auto"/>
        <w:outlineLvl w:val="9"/>
        <w:rPr>
          <w:rFonts w:hint="eastAsia" w:ascii="仿宋" w:hAnsi="仿宋" w:eastAsia="仿宋" w:cs="仿宋"/>
          <w:b w:val="0"/>
          <w:bCs w:val="0"/>
          <w:spacing w:val="0"/>
          <w:kern w:val="2"/>
          <w:sz w:val="32"/>
          <w:szCs w:val="32"/>
          <w:lang w:val="en-US" w:eastAsia="zh-CN" w:bidi="ar-SA"/>
        </w:rPr>
      </w:pPr>
      <w:r>
        <w:rPr>
          <w:rStyle w:val="11"/>
          <w:rFonts w:hint="eastAsia" w:ascii="楷体_GB2312" w:hAnsi="楷体_GB2312" w:eastAsia="楷体_GB2312" w:cs="楷体_GB2312"/>
          <w:b w:val="0"/>
          <w:bCs/>
          <w:sz w:val="32"/>
          <w:szCs w:val="32"/>
        </w:rPr>
        <w:t>建设内容</w:t>
      </w:r>
      <w:r>
        <w:rPr>
          <w:rStyle w:val="11"/>
          <w:rFonts w:hint="eastAsia" w:ascii="楷体_GB2312" w:hAnsi="楷体_GB2312" w:eastAsia="楷体_GB2312" w:cs="楷体_GB2312"/>
          <w:b w:val="0"/>
          <w:bCs/>
          <w:sz w:val="32"/>
          <w:szCs w:val="32"/>
          <w:lang w:val="en-US" w:eastAsia="zh-CN"/>
        </w:rPr>
        <w:t>及补助标准</w:t>
      </w:r>
    </w:p>
    <w:p>
      <w:pPr>
        <w:keepNext w:val="0"/>
        <w:keepLines w:val="0"/>
        <w:pageBreakBefore w:val="0"/>
        <w:widowControl w:val="0"/>
        <w:numPr>
          <w:ilvl w:val="0"/>
          <w:numId w:val="0"/>
        </w:numPr>
        <w:kinsoku/>
        <w:wordWrap/>
        <w:overflowPunct/>
        <w:topLinePunct w:val="0"/>
        <w:autoSpaceDE/>
        <w:autoSpaceDN/>
        <w:bidi w:val="0"/>
        <w:adjustRightInd/>
        <w:snapToGrid/>
        <w:spacing w:line="260" w:lineRule="atLeast"/>
        <w:ind w:left="0" w:leftChars="0" w:right="0" w:rightChars="0" w:firstLine="640" w:firstLineChars="200"/>
        <w:jc w:val="both"/>
        <w:textAlignment w:val="auto"/>
        <w:outlineLvl w:val="9"/>
        <w:rPr>
          <w:rFonts w:hint="eastAsia" w:ascii="仿宋" w:hAnsi="仿宋" w:eastAsia="仿宋" w:cs="仿宋"/>
          <w:b w:val="0"/>
          <w:bCs w:val="0"/>
          <w:spacing w:val="0"/>
          <w:kern w:val="2"/>
          <w:sz w:val="32"/>
          <w:szCs w:val="32"/>
          <w:lang w:val="en-US" w:eastAsia="zh-CN" w:bidi="ar-SA"/>
        </w:rPr>
      </w:pPr>
      <w:r>
        <w:rPr>
          <w:rStyle w:val="15"/>
          <w:rFonts w:hint="eastAsia" w:ascii="仿宋" w:hAnsi="仿宋" w:eastAsia="仿宋" w:cs="仿宋"/>
          <w:b w:val="0"/>
          <w:bCs w:val="0"/>
          <w:sz w:val="32"/>
          <w:szCs w:val="32"/>
          <w:u w:val="none"/>
          <w:lang w:val="en-US" w:eastAsia="zh-CN" w:bidi="ar-SA"/>
        </w:rPr>
        <w:t>3.1</w:t>
      </w:r>
      <w:r>
        <w:rPr>
          <w:rFonts w:hint="eastAsia" w:ascii="仿宋" w:hAnsi="仿宋" w:eastAsia="仿宋" w:cs="仿宋"/>
          <w:b w:val="0"/>
          <w:bCs w:val="0"/>
          <w:spacing w:val="0"/>
          <w:kern w:val="2"/>
          <w:sz w:val="32"/>
          <w:szCs w:val="32"/>
          <w:lang w:val="en-US" w:eastAsia="zh-CN" w:bidi="ar-SA"/>
        </w:rPr>
        <w:t>收储站建设：</w:t>
      </w:r>
      <w:r>
        <w:rPr>
          <w:rFonts w:hint="eastAsia" w:ascii="仿宋" w:hAnsi="仿宋" w:eastAsia="仿宋" w:cs="仿宋"/>
          <w:sz w:val="32"/>
          <w:szCs w:val="32"/>
          <w:lang w:val="en-US" w:eastAsia="zh-CN"/>
        </w:rPr>
        <w:t>租赁</w:t>
      </w:r>
      <w:r>
        <w:rPr>
          <w:rFonts w:hint="eastAsia" w:ascii="仿宋" w:hAnsi="仿宋" w:eastAsia="仿宋" w:cs="仿宋"/>
          <w:b w:val="0"/>
          <w:bCs w:val="0"/>
          <w:spacing w:val="0"/>
          <w:kern w:val="2"/>
          <w:sz w:val="32"/>
          <w:szCs w:val="32"/>
          <w:lang w:val="en-US" w:eastAsia="zh-CN" w:bidi="ar-SA"/>
        </w:rPr>
        <w:t>10个收储站共补助20万元。</w:t>
      </w:r>
      <w:r>
        <w:rPr>
          <w:rFonts w:hint="eastAsia" w:ascii="仿宋" w:eastAsia="仿宋" w:cs="仿宋"/>
          <w:sz w:val="32"/>
          <w:szCs w:val="32"/>
          <w:lang w:val="en-US" w:eastAsia="zh-CN"/>
        </w:rPr>
        <w:t>一个收储站补助2万元，</w:t>
      </w:r>
      <w:r>
        <w:rPr>
          <w:rFonts w:hint="eastAsia" w:ascii="仿宋" w:hAnsi="仿宋" w:eastAsia="仿宋"/>
          <w:sz w:val="32"/>
          <w:szCs w:val="32"/>
        </w:rPr>
        <w:t>用于网点建设</w:t>
      </w:r>
      <w:r>
        <w:rPr>
          <w:rFonts w:hint="eastAsia" w:ascii="仿宋" w:hAnsi="仿宋" w:eastAsia="仿宋"/>
          <w:sz w:val="32"/>
          <w:szCs w:val="32"/>
          <w:lang w:eastAsia="zh-CN"/>
        </w:rPr>
        <w:t>、</w:t>
      </w:r>
      <w:r>
        <w:rPr>
          <w:rFonts w:hint="eastAsia" w:ascii="仿宋" w:hAnsi="仿宋" w:eastAsia="仿宋"/>
          <w:sz w:val="32"/>
          <w:szCs w:val="32"/>
        </w:rPr>
        <w:t>设备购置</w:t>
      </w:r>
      <w:r>
        <w:rPr>
          <w:rFonts w:hint="eastAsia" w:ascii="仿宋" w:hAnsi="仿宋" w:eastAsia="仿宋"/>
          <w:sz w:val="32"/>
          <w:szCs w:val="32"/>
          <w:lang w:eastAsia="zh-CN"/>
        </w:rPr>
        <w:t>（</w:t>
      </w:r>
      <w:r>
        <w:rPr>
          <w:rFonts w:hint="eastAsia" w:ascii="仿宋" w:hAnsi="仿宋" w:eastAsia="仿宋"/>
          <w:sz w:val="32"/>
          <w:szCs w:val="32"/>
          <w:lang w:val="en-US" w:eastAsia="zh-CN"/>
        </w:rPr>
        <w:t>如：监控、消防设施、打捆机等相应的设施设备</w:t>
      </w:r>
      <w:r>
        <w:rPr>
          <w:rFonts w:hint="eastAsia" w:ascii="仿宋" w:hAnsi="仿宋" w:eastAsia="仿宋"/>
          <w:sz w:val="32"/>
          <w:szCs w:val="32"/>
          <w:lang w:eastAsia="zh-CN"/>
        </w:rPr>
        <w:t>）</w:t>
      </w:r>
      <w:r>
        <w:rPr>
          <w:rFonts w:hint="eastAsia" w:ascii="仿宋" w:hAnsi="仿宋" w:eastAsia="仿宋"/>
          <w:sz w:val="32"/>
          <w:szCs w:val="32"/>
          <w:lang w:val="en-US" w:eastAsia="zh-CN"/>
        </w:rPr>
        <w:t>专人工资、转运费</w:t>
      </w:r>
      <w:r>
        <w:rPr>
          <w:rFonts w:hint="eastAsia" w:ascii="仿宋" w:hAnsi="仿宋" w:eastAsia="仿宋"/>
          <w:sz w:val="32"/>
          <w:szCs w:val="32"/>
        </w:rPr>
        <w:t>等相关费用</w:t>
      </w:r>
      <w:r>
        <w:rPr>
          <w:rFonts w:hint="eastAsia" w:ascii="仿宋" w:hAnsi="仿宋" w:eastAsia="仿宋" w:cs="仿宋"/>
          <w:b w:val="0"/>
          <w:bCs w:val="0"/>
          <w:spacing w:val="0"/>
          <w:kern w:val="2"/>
          <w:sz w:val="32"/>
          <w:szCs w:val="32"/>
          <w:lang w:val="en-US" w:eastAsia="zh-CN" w:bidi="ar-SA"/>
        </w:rPr>
        <w:t>。</w:t>
      </w:r>
    </w:p>
    <w:p>
      <w:pPr>
        <w:pStyle w:val="8"/>
        <w:keepNext w:val="0"/>
        <w:keepLines w:val="0"/>
        <w:pageBreakBefore w:val="0"/>
        <w:widowControl w:val="0"/>
        <w:shd w:val="clear" w:color="auto" w:fill="auto"/>
        <w:kinsoku/>
        <w:wordWrap/>
        <w:overflowPunct/>
        <w:topLinePunct w:val="0"/>
        <w:autoSpaceDE/>
        <w:autoSpaceDN/>
        <w:bidi w:val="0"/>
        <w:adjustRightInd/>
        <w:snapToGrid/>
        <w:spacing w:before="0" w:line="260" w:lineRule="atLeast"/>
        <w:ind w:left="0" w:leftChars="0" w:right="0" w:rightChars="0" w:firstLine="0" w:firstLineChars="0"/>
        <w:jc w:val="left"/>
        <w:textAlignment w:val="auto"/>
        <w:outlineLvl w:val="9"/>
        <w:rPr>
          <w:rFonts w:hint="eastAsia" w:ascii="仿宋" w:hAnsi="仿宋" w:eastAsia="仿宋" w:cs="仿宋"/>
          <w:b w:val="0"/>
          <w:bCs w:val="0"/>
          <w:spacing w:val="0"/>
          <w:kern w:val="2"/>
          <w:sz w:val="32"/>
          <w:szCs w:val="32"/>
          <w:lang w:val="en-US" w:eastAsia="zh-CN" w:bidi="ar-SA"/>
        </w:rPr>
      </w:pPr>
      <w:r>
        <w:rPr>
          <w:rFonts w:hint="eastAsia" w:ascii="仿宋" w:hAnsi="仿宋" w:eastAsia="仿宋" w:cs="仿宋"/>
          <w:b w:val="0"/>
          <w:bCs w:val="0"/>
          <w:sz w:val="32"/>
          <w:szCs w:val="32"/>
          <w:lang w:val="en-US" w:eastAsia="zh-CN"/>
        </w:rPr>
        <w:t>3.2</w:t>
      </w:r>
      <w:r>
        <w:rPr>
          <w:rFonts w:hint="eastAsia" w:ascii="仿宋" w:hAnsi="仿宋" w:eastAsia="仿宋" w:cs="仿宋"/>
          <w:b w:val="0"/>
          <w:bCs w:val="0"/>
          <w:spacing w:val="0"/>
          <w:kern w:val="2"/>
          <w:sz w:val="32"/>
          <w:szCs w:val="32"/>
          <w:lang w:val="en-US" w:eastAsia="zh-CN" w:bidi="ar-SA"/>
        </w:rPr>
        <w:t>收购补助：参照《盐湖区2020农业农村局农业废弃物农膜利用实施方案》，计划收购废旧农膜约120吨补助28万元。反光膜补助1.6元/公斤，其中捡拾农膜人员补助1.0元/公斤，收储站补助0.6元/公斤；地膜补助2.6元/公斤，其中捡拾农膜人员补助2.0元/公斤，收储站补助0.6元/公斤；棚膜补助1.2元/公斤，其中捡拾农膜人员补助0.6元/公斤，收储站补助0.6元/公斤。</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left="0" w:leftChars="0" w:right="0" w:rightChars="0" w:firstLine="640" w:firstLineChars="200"/>
        <w:jc w:val="both"/>
        <w:textAlignment w:val="auto"/>
        <w:outlineLvl w:val="9"/>
        <w:rPr>
          <w:rFonts w:hint="eastAsia" w:ascii="仿宋" w:hAnsi="仿宋" w:eastAsia="仿宋" w:cs="仿宋"/>
          <w:b w:val="0"/>
          <w:bCs w:val="0"/>
          <w:spacing w:val="0"/>
          <w:kern w:val="2"/>
          <w:sz w:val="32"/>
          <w:szCs w:val="32"/>
          <w:lang w:val="en-US" w:eastAsia="zh-CN" w:bidi="ar-SA"/>
        </w:rPr>
      </w:pPr>
      <w:r>
        <w:rPr>
          <w:rStyle w:val="17"/>
          <w:rFonts w:hint="eastAsia" w:ascii="仿宋" w:hAnsi="仿宋" w:eastAsia="仿宋" w:cs="仿宋"/>
          <w:b w:val="0"/>
          <w:bCs w:val="0"/>
          <w:color w:val="000000"/>
          <w:spacing w:val="0"/>
          <w:sz w:val="32"/>
          <w:szCs w:val="32"/>
          <w:lang w:val="en-US" w:eastAsia="zh-CN"/>
        </w:rPr>
        <w:t xml:space="preserve">3.3 </w:t>
      </w:r>
      <w:r>
        <w:rPr>
          <w:rFonts w:hint="eastAsia" w:ascii="仿宋" w:hAnsi="仿宋" w:eastAsia="仿宋" w:cs="仿宋"/>
          <w:b w:val="0"/>
          <w:bCs w:val="0"/>
          <w:spacing w:val="0"/>
          <w:kern w:val="2"/>
          <w:sz w:val="32"/>
          <w:szCs w:val="32"/>
          <w:lang w:val="en-US" w:eastAsia="zh-CN" w:bidi="ar-SA"/>
        </w:rPr>
        <w:t>项目管理：经费2万元用于该项目的日常监管、宣传、技术指导、差旅、审计、验收、绩效评价等费用。</w:t>
      </w:r>
    </w:p>
    <w:p>
      <w:pPr>
        <w:pStyle w:val="2"/>
        <w:ind w:firstLine="640" w:firstLineChars="200"/>
        <w:jc w:val="left"/>
        <w:rPr>
          <w:rFonts w:hint="default" w:ascii="仿宋" w:hAnsi="仿宋" w:eastAsia="仿宋" w:cs="仿宋"/>
          <w:b w:val="0"/>
          <w:bCs w:val="0"/>
          <w:spacing w:val="0"/>
          <w:kern w:val="2"/>
          <w:sz w:val="32"/>
          <w:szCs w:val="32"/>
          <w:lang w:val="en-US" w:eastAsia="zh-CN" w:bidi="ar-SA"/>
        </w:rPr>
      </w:pPr>
      <w:r>
        <w:rPr>
          <w:rFonts w:hint="eastAsia" w:ascii="仿宋" w:hAnsi="仿宋" w:eastAsia="仿宋" w:cs="仿宋"/>
          <w:b w:val="0"/>
          <w:bCs w:val="0"/>
          <w:spacing w:val="0"/>
          <w:kern w:val="2"/>
          <w:sz w:val="32"/>
          <w:szCs w:val="32"/>
          <w:lang w:val="en-US" w:eastAsia="zh-CN" w:bidi="ar-SA"/>
        </w:rPr>
        <w:t>3.4租赁条件：各镇（街道）要结合当地实际情况，优先选择租赁当地长期经营5年以上的废品回收站（场），经营良好，无不良记录，并上报市农业农村局备案。</w:t>
      </w:r>
    </w:p>
    <w:p>
      <w:pPr>
        <w:keepNext w:val="0"/>
        <w:keepLines w:val="0"/>
        <w:pageBreakBefore w:val="0"/>
        <w:widowControl w:val="0"/>
        <w:numPr>
          <w:ilvl w:val="0"/>
          <w:numId w:val="1"/>
        </w:numPr>
        <w:kinsoku/>
        <w:wordWrap/>
        <w:overflowPunct/>
        <w:topLinePunct w:val="0"/>
        <w:autoSpaceDE/>
        <w:autoSpaceDN/>
        <w:bidi w:val="0"/>
        <w:adjustRightInd/>
        <w:snapToGrid/>
        <w:spacing w:line="620" w:lineRule="exact"/>
        <w:ind w:left="0" w:leftChars="0" w:right="0" w:rightChars="0" w:firstLine="640" w:firstLineChars="200"/>
        <w:jc w:val="both"/>
        <w:textAlignment w:val="auto"/>
        <w:outlineLvl w:val="9"/>
        <w:rPr>
          <w:rStyle w:val="17"/>
          <w:rFonts w:hint="eastAsia" w:ascii="楷体_GB2312" w:hAnsi="楷体_GB2312" w:eastAsia="楷体_GB2312" w:cs="楷体_GB2312"/>
          <w:b w:val="0"/>
          <w:bCs w:val="0"/>
          <w:color w:val="000000"/>
          <w:spacing w:val="0"/>
          <w:sz w:val="32"/>
          <w:szCs w:val="32"/>
          <w:lang w:val="en-US" w:eastAsia="zh-CN"/>
        </w:rPr>
      </w:pPr>
      <w:r>
        <w:rPr>
          <w:rStyle w:val="17"/>
          <w:rFonts w:hint="eastAsia" w:ascii="楷体_GB2312" w:hAnsi="楷体_GB2312" w:eastAsia="楷体_GB2312" w:cs="楷体_GB2312"/>
          <w:b w:val="0"/>
          <w:bCs w:val="0"/>
          <w:color w:val="000000"/>
          <w:spacing w:val="0"/>
          <w:sz w:val="32"/>
          <w:szCs w:val="32"/>
          <w:lang w:val="en-US" w:eastAsia="zh-CN"/>
        </w:rPr>
        <w:t>建设期限</w:t>
      </w:r>
    </w:p>
    <w:p>
      <w:pPr>
        <w:widowControl w:val="0"/>
        <w:numPr>
          <w:ilvl w:val="0"/>
          <w:numId w:val="0"/>
        </w:numPr>
        <w:wordWrap/>
        <w:adjustRightInd/>
        <w:snapToGrid/>
        <w:spacing w:line="590" w:lineRule="exact"/>
        <w:ind w:left="0" w:leftChars="0" w:right="0" w:firstLine="640" w:firstLineChars="200"/>
        <w:jc w:val="both"/>
        <w:textAlignment w:val="auto"/>
        <w:outlineLvl w:val="9"/>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该项目期限为一年。</w:t>
      </w:r>
    </w:p>
    <w:p>
      <w:pPr>
        <w:pStyle w:val="13"/>
        <w:keepNext/>
        <w:keepLines/>
        <w:widowControl w:val="0"/>
        <w:shd w:val="clear" w:color="auto" w:fill="auto"/>
        <w:wordWrap/>
        <w:adjustRightInd/>
        <w:snapToGrid/>
        <w:spacing w:before="0" w:after="0" w:line="590" w:lineRule="exact"/>
        <w:ind w:left="0" w:leftChars="0" w:right="0" w:firstLine="640" w:firstLineChars="200"/>
        <w:jc w:val="both"/>
        <w:rPr>
          <w:rFonts w:hint="eastAsia" w:ascii="楷体_GB2312" w:hAnsi="楷体_GB2312" w:eastAsia="楷体_GB2312" w:cs="楷体_GB2312"/>
          <w:b w:val="0"/>
          <w:bCs w:val="0"/>
          <w:sz w:val="32"/>
          <w:szCs w:val="32"/>
        </w:rPr>
      </w:pPr>
      <w:bookmarkStart w:id="6" w:name="bookmark9"/>
      <w:r>
        <w:rPr>
          <w:rStyle w:val="11"/>
          <w:rFonts w:hint="eastAsia" w:ascii="楷体_GB2312" w:hAnsi="楷体_GB2312" w:eastAsia="楷体_GB2312" w:cs="楷体_GB2312"/>
          <w:b w:val="0"/>
          <w:bCs w:val="0"/>
          <w:sz w:val="32"/>
          <w:szCs w:val="32"/>
          <w:lang w:val="en-US" w:eastAsia="zh-CN"/>
        </w:rPr>
        <w:t>5</w:t>
      </w:r>
      <w:r>
        <w:rPr>
          <w:rFonts w:hint="eastAsia" w:ascii="楷体_GB2312" w:hAnsi="楷体_GB2312" w:eastAsia="楷体_GB2312" w:cs="楷体_GB2312"/>
          <w:b w:val="0"/>
          <w:bCs w:val="0"/>
          <w:sz w:val="32"/>
          <w:szCs w:val="32"/>
        </w:rPr>
        <w:t>、</w:t>
      </w:r>
      <w:r>
        <w:rPr>
          <w:rFonts w:hint="eastAsia" w:ascii="楷体_GB2312" w:hAnsi="楷体_GB2312" w:eastAsia="楷体_GB2312" w:cs="楷体_GB2312"/>
          <w:b w:val="0"/>
          <w:bCs w:val="0"/>
          <w:spacing w:val="0"/>
          <w:sz w:val="32"/>
          <w:szCs w:val="32"/>
        </w:rPr>
        <w:t>项目总投资及资金来源</w:t>
      </w:r>
      <w:bookmarkEnd w:id="6"/>
    </w:p>
    <w:p>
      <w:pPr>
        <w:pStyle w:val="8"/>
        <w:widowControl w:val="0"/>
        <w:shd w:val="clear" w:color="auto" w:fill="auto"/>
        <w:wordWrap/>
        <w:adjustRightInd/>
        <w:snapToGrid/>
        <w:spacing w:before="0" w:line="590" w:lineRule="exact"/>
        <w:ind w:left="0" w:leftChars="0" w:right="0" w:firstLine="520"/>
        <w:jc w:val="both"/>
        <w:rPr>
          <w:rFonts w:hint="eastAsia" w:ascii="仿宋" w:hAnsi="仿宋" w:eastAsia="仿宋" w:cs="仿宋"/>
          <w:b w:val="0"/>
          <w:bCs w:val="0"/>
          <w:color w:val="000000"/>
          <w:sz w:val="32"/>
          <w:szCs w:val="32"/>
        </w:rPr>
      </w:pPr>
      <w:r>
        <w:rPr>
          <w:rFonts w:hint="eastAsia" w:ascii="仿宋" w:hAnsi="仿宋" w:eastAsia="仿宋" w:cs="仿宋"/>
          <w:b w:val="0"/>
          <w:bCs w:val="0"/>
          <w:color w:val="000000"/>
          <w:sz w:val="32"/>
          <w:szCs w:val="32"/>
        </w:rPr>
        <w:t>项目总投资</w:t>
      </w:r>
      <w:r>
        <w:rPr>
          <w:rStyle w:val="18"/>
          <w:rFonts w:hint="eastAsia" w:ascii="仿宋" w:hAnsi="仿宋" w:eastAsia="仿宋" w:cs="仿宋"/>
          <w:b w:val="0"/>
          <w:bCs w:val="0"/>
          <w:color w:val="000000"/>
          <w:sz w:val="32"/>
          <w:szCs w:val="32"/>
          <w:lang w:val="en-US" w:eastAsia="zh-CN"/>
        </w:rPr>
        <w:t>50</w:t>
      </w:r>
      <w:r>
        <w:rPr>
          <w:rFonts w:hint="eastAsia" w:ascii="仿宋" w:hAnsi="仿宋" w:eastAsia="仿宋" w:cs="仿宋"/>
          <w:b w:val="0"/>
          <w:bCs w:val="0"/>
          <w:color w:val="000000"/>
          <w:sz w:val="32"/>
          <w:szCs w:val="32"/>
        </w:rPr>
        <w:t>万元，</w:t>
      </w:r>
      <w:r>
        <w:rPr>
          <w:rFonts w:hint="eastAsia" w:ascii="仿宋" w:hAnsi="仿宋" w:eastAsia="仿宋" w:cs="仿宋"/>
          <w:b w:val="0"/>
          <w:bCs w:val="0"/>
          <w:color w:val="000000"/>
          <w:sz w:val="32"/>
          <w:szCs w:val="32"/>
          <w:lang w:val="en-US" w:eastAsia="zh-CN"/>
        </w:rPr>
        <w:t>全部为本</w:t>
      </w:r>
      <w:r>
        <w:rPr>
          <w:rFonts w:hint="eastAsia" w:ascii="仿宋" w:hAnsi="仿宋" w:eastAsia="仿宋" w:cs="仿宋"/>
          <w:b w:val="0"/>
          <w:bCs w:val="0"/>
          <w:color w:val="000000"/>
          <w:sz w:val="32"/>
          <w:szCs w:val="32"/>
        </w:rPr>
        <w:t>级财政补助资金。</w:t>
      </w:r>
    </w:p>
    <w:p>
      <w:pPr>
        <w:pStyle w:val="9"/>
        <w:keepNext/>
        <w:keepLines/>
        <w:widowControl w:val="0"/>
        <w:shd w:val="clear" w:color="auto" w:fill="auto"/>
        <w:wordWrap/>
        <w:adjustRightInd/>
        <w:snapToGrid/>
        <w:spacing w:after="0" w:line="590" w:lineRule="exact"/>
        <w:ind w:left="0" w:leftChars="0" w:right="0" w:firstLine="675" w:firstLineChars="225"/>
        <w:jc w:val="both"/>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t>二、项目实施流程</w:t>
      </w:r>
    </w:p>
    <w:p>
      <w:pPr>
        <w:widowControl w:val="0"/>
        <w:numPr>
          <w:ilvl w:val="0"/>
          <w:numId w:val="0"/>
        </w:numPr>
        <w:wordWrap/>
        <w:adjustRightInd/>
        <w:snapToGrid/>
        <w:spacing w:line="590" w:lineRule="exact"/>
        <w:ind w:left="0" w:leftChars="0" w:right="0" w:firstLine="640" w:firstLineChars="200"/>
        <w:jc w:val="both"/>
        <w:textAlignment w:val="auto"/>
        <w:rPr>
          <w:rFonts w:hint="eastAsia" w:ascii="仿宋" w:hAnsi="仿宋" w:eastAsia="仿宋" w:cs="仿宋"/>
          <w:sz w:val="32"/>
          <w:szCs w:val="32"/>
          <w:lang w:val="en-US" w:eastAsia="zh-CN"/>
        </w:rPr>
      </w:pPr>
      <w:r>
        <w:rPr>
          <w:rFonts w:hint="eastAsia" w:ascii="楷体_GB2312" w:hAnsi="楷体_GB2312" w:eastAsia="楷体_GB2312" w:cs="楷体_GB2312"/>
          <w:color w:val="auto"/>
          <w:sz w:val="32"/>
          <w:szCs w:val="32"/>
          <w:lang w:val="en-US" w:eastAsia="zh-CN"/>
        </w:rPr>
        <w:t>1、加强源头治理。</w:t>
      </w:r>
      <w:r>
        <w:rPr>
          <w:rFonts w:hint="eastAsia" w:ascii="仿宋" w:hAnsi="仿宋" w:eastAsia="仿宋" w:cs="仿宋"/>
          <w:sz w:val="32"/>
          <w:szCs w:val="32"/>
          <w:lang w:val="en-US" w:eastAsia="zh-CN"/>
        </w:rPr>
        <w:t>对《聚乙烯吹塑农用地面覆盖薄膜》（GB13735-2017）进行宣传，引导广大农民群众了解、接受并使用标准厚度地膜，支持使用0.01mm及以上厚度的地膜，增强可回收和再利用价值。</w:t>
      </w:r>
    </w:p>
    <w:p>
      <w:pPr>
        <w:widowControl w:val="0"/>
        <w:wordWrap/>
        <w:adjustRightInd/>
        <w:snapToGrid/>
        <w:spacing w:line="590" w:lineRule="exact"/>
        <w:ind w:left="0" w:leftChars="0" w:right="0" w:firstLine="640" w:firstLineChars="200"/>
        <w:jc w:val="both"/>
        <w:textAlignment w:val="baseline"/>
        <w:rPr>
          <w:rFonts w:hint="eastAsia" w:ascii="仿宋" w:hAnsi="仿宋" w:eastAsia="仿宋" w:cs="仿宋"/>
          <w:color w:val="auto"/>
          <w:kern w:val="0"/>
          <w:sz w:val="32"/>
          <w:szCs w:val="32"/>
          <w:u w:val="none" w:color="000000"/>
          <w:lang w:val="en-US" w:eastAsia="zh-CN"/>
        </w:rPr>
      </w:pPr>
      <w:r>
        <w:rPr>
          <w:rFonts w:hint="eastAsia" w:ascii="楷体_GB2312" w:hAnsi="楷体_GB2312" w:eastAsia="楷体_GB2312" w:cs="楷体_GB2312"/>
          <w:color w:val="auto"/>
          <w:sz w:val="32"/>
          <w:szCs w:val="32"/>
          <w:lang w:val="en-US" w:eastAsia="zh-CN"/>
        </w:rPr>
        <w:t>2、建立废旧农膜回收服务体系。</w:t>
      </w:r>
      <w:r>
        <w:rPr>
          <w:rFonts w:hint="eastAsia" w:ascii="仿宋" w:hAnsi="仿宋" w:eastAsia="仿宋" w:cs="仿宋"/>
          <w:sz w:val="32"/>
          <w:szCs w:val="32"/>
          <w:lang w:val="en-US" w:eastAsia="zh-CN"/>
        </w:rPr>
        <w:t>按照辐射面广、方便收购、便利群众的原则，结合永济市域实际情况，鼓励农民及专业回收户积极参与回收清理</w:t>
      </w:r>
      <w:r>
        <w:rPr>
          <w:rFonts w:hint="eastAsia" w:ascii="仿宋" w:hAnsi="仿宋" w:eastAsia="仿宋" w:cs="仿宋"/>
          <w:color w:val="auto"/>
          <w:kern w:val="0"/>
          <w:sz w:val="32"/>
          <w:szCs w:val="32"/>
          <w:u w:val="none" w:color="000000"/>
          <w:lang w:val="en-US" w:eastAsia="zh-CN"/>
        </w:rPr>
        <w:t>泥土和杂物后的废旧农膜。</w:t>
      </w:r>
    </w:p>
    <w:p>
      <w:pPr>
        <w:widowControl w:val="0"/>
        <w:wordWrap/>
        <w:adjustRightInd/>
        <w:snapToGrid/>
        <w:spacing w:line="590" w:lineRule="exact"/>
        <w:ind w:left="0" w:leftChars="0" w:right="0" w:firstLine="640" w:firstLineChars="200"/>
        <w:jc w:val="both"/>
        <w:textAlignment w:val="baseline"/>
        <w:rPr>
          <w:rFonts w:hint="eastAsia" w:ascii="仿宋" w:hAnsi="仿宋" w:eastAsia="仿宋" w:cs="仿宋"/>
          <w:color w:val="auto"/>
          <w:kern w:val="0"/>
          <w:sz w:val="32"/>
          <w:szCs w:val="32"/>
          <w:u w:val="none" w:color="000000"/>
          <w:lang w:val="en-US" w:eastAsia="zh-CN"/>
        </w:rPr>
      </w:pPr>
      <w:r>
        <w:rPr>
          <w:rFonts w:hint="eastAsia" w:ascii="仿宋" w:hAnsi="仿宋" w:eastAsia="仿宋" w:cs="仿宋"/>
          <w:color w:val="auto"/>
          <w:kern w:val="0"/>
          <w:sz w:val="32"/>
          <w:szCs w:val="32"/>
          <w:u w:val="none" w:color="000000"/>
          <w:lang w:val="en-US" w:eastAsia="zh-CN"/>
        </w:rPr>
        <w:t>收储站负责收购废弃农膜，登记收购信息，经农民签字确认后，按标准支付补贴款；负责过磅单、监控影像资料的保存，健全财务帐目。</w:t>
      </w:r>
    </w:p>
    <w:p>
      <w:pPr>
        <w:widowControl w:val="0"/>
        <w:wordWrap/>
        <w:adjustRightInd/>
        <w:snapToGrid/>
        <w:spacing w:line="590" w:lineRule="exact"/>
        <w:ind w:left="0" w:leftChars="0" w:right="0" w:firstLine="640" w:firstLineChars="200"/>
        <w:jc w:val="both"/>
        <w:textAlignment w:val="baseline"/>
        <w:rPr>
          <w:rFonts w:hint="eastAsia" w:ascii="仿宋" w:hAnsi="仿宋" w:eastAsia="仿宋" w:cs="仿宋"/>
          <w:color w:val="auto"/>
          <w:kern w:val="0"/>
          <w:sz w:val="32"/>
          <w:szCs w:val="32"/>
          <w:u w:val="none" w:color="000000"/>
          <w:lang w:val="en-US" w:eastAsia="zh-CN"/>
        </w:rPr>
      </w:pPr>
      <w:r>
        <w:rPr>
          <w:rFonts w:hint="eastAsia" w:ascii="仿宋" w:hAnsi="仿宋" w:eastAsia="仿宋" w:cs="仿宋"/>
          <w:color w:val="auto"/>
          <w:kern w:val="0"/>
          <w:sz w:val="32"/>
          <w:szCs w:val="32"/>
          <w:u w:val="none" w:color="000000"/>
          <w:lang w:val="en-US" w:eastAsia="zh-CN"/>
        </w:rPr>
        <w:t>市农业农村局根据各镇（街道）建设进度，阶段性将补助款拨付给收储站。项目完成后，各镇（街道）负责项目的初验。上报市农业农村局进行验收，市农业农村局委托第三方机构进行审计、评估、绩效等相关程序。</w:t>
      </w:r>
    </w:p>
    <w:p>
      <w:pPr>
        <w:widowControl w:val="0"/>
        <w:wordWrap/>
        <w:adjustRightInd/>
        <w:snapToGrid/>
        <w:spacing w:line="590" w:lineRule="exact"/>
        <w:ind w:left="0" w:leftChars="0" w:right="0" w:firstLine="640" w:firstLineChars="200"/>
        <w:jc w:val="both"/>
        <w:textAlignment w:val="baseline"/>
        <w:rPr>
          <w:rFonts w:hint="eastAsia" w:ascii="仿宋" w:hAnsi="仿宋" w:eastAsia="仿宋" w:cs="仿宋"/>
          <w:color w:val="auto"/>
          <w:kern w:val="0"/>
          <w:sz w:val="32"/>
          <w:szCs w:val="32"/>
          <w:u w:val="none" w:color="000000"/>
          <w:lang w:val="en-US" w:eastAsia="zh-CN"/>
        </w:rPr>
      </w:pPr>
      <w:r>
        <w:rPr>
          <w:rFonts w:hint="eastAsia" w:ascii="楷体_GB2312" w:hAnsi="楷体_GB2312" w:eastAsia="楷体_GB2312" w:cs="楷体_GB2312"/>
          <w:color w:val="auto"/>
          <w:sz w:val="32"/>
          <w:szCs w:val="32"/>
          <w:lang w:val="en-US" w:eastAsia="zh-CN"/>
        </w:rPr>
        <w:t>3、建立废旧农膜回收质量标准。</w:t>
      </w:r>
      <w:r>
        <w:rPr>
          <w:rFonts w:hint="eastAsia" w:ascii="仿宋" w:hAnsi="仿宋" w:eastAsia="仿宋" w:cs="仿宋"/>
          <w:color w:val="auto"/>
          <w:kern w:val="0"/>
          <w:sz w:val="32"/>
          <w:szCs w:val="32"/>
          <w:u w:val="none" w:color="000000"/>
          <w:lang w:val="en-US" w:eastAsia="zh-CN"/>
        </w:rPr>
        <w:t>要求回收的废旧农膜土、草、秸秆等杂质少于10%，清洁度达到90%并保持干燥。</w:t>
      </w:r>
    </w:p>
    <w:p>
      <w:pPr>
        <w:pStyle w:val="9"/>
        <w:keepNext/>
        <w:keepLines/>
        <w:widowControl w:val="0"/>
        <w:shd w:val="clear" w:color="auto" w:fill="auto"/>
        <w:wordWrap/>
        <w:adjustRightInd/>
        <w:snapToGrid/>
        <w:spacing w:after="0" w:line="590" w:lineRule="exact"/>
        <w:ind w:left="0" w:leftChars="0" w:right="0" w:firstLine="675" w:firstLineChars="225"/>
        <w:jc w:val="both"/>
        <w:rPr>
          <w:rFonts w:hint="eastAsia" w:ascii="黑体" w:hAnsi="黑体" w:eastAsia="黑体" w:cs="黑体"/>
          <w:b w:val="0"/>
          <w:bCs/>
          <w:sz w:val="32"/>
          <w:szCs w:val="32"/>
        </w:rPr>
      </w:pPr>
      <w:bookmarkStart w:id="7" w:name="bookmark10"/>
      <w:r>
        <w:rPr>
          <w:rFonts w:hint="eastAsia" w:ascii="黑体" w:hAnsi="黑体" w:eastAsia="黑体" w:cs="黑体"/>
          <w:b w:val="0"/>
          <w:bCs/>
          <w:sz w:val="32"/>
          <w:szCs w:val="32"/>
          <w:lang w:val="en-US" w:eastAsia="zh-CN"/>
        </w:rPr>
        <w:t>三</w:t>
      </w:r>
      <w:r>
        <w:rPr>
          <w:rFonts w:hint="eastAsia" w:ascii="黑体" w:hAnsi="黑体" w:eastAsia="黑体" w:cs="黑体"/>
          <w:b w:val="0"/>
          <w:bCs/>
          <w:sz w:val="32"/>
          <w:szCs w:val="32"/>
        </w:rPr>
        <w:t>、组织与管理措施</w:t>
      </w:r>
      <w:bookmarkEnd w:id="7"/>
    </w:p>
    <w:p>
      <w:pPr>
        <w:keepNext w:val="0"/>
        <w:keepLines w:val="0"/>
        <w:pageBreakBefore w:val="0"/>
        <w:widowControl w:val="0"/>
        <w:kinsoku/>
        <w:wordWrap/>
        <w:overflowPunct/>
        <w:topLinePunct w:val="0"/>
        <w:autoSpaceDE/>
        <w:autoSpaceDN/>
        <w:bidi w:val="0"/>
        <w:adjustRightInd/>
        <w:snapToGrid/>
        <w:spacing w:line="520" w:lineRule="exact"/>
        <w:ind w:left="0" w:leftChars="0" w:right="0" w:firstLine="640" w:firstLineChars="200"/>
        <w:jc w:val="both"/>
        <w:outlineLvl w:val="1"/>
        <w:rPr>
          <w:rFonts w:hint="eastAsia" w:ascii="楷体_GB2312" w:hAnsi="楷体_GB2312" w:eastAsia="楷体_GB2312" w:cs="楷体_GB2312"/>
          <w:color w:val="auto"/>
          <w:sz w:val="32"/>
          <w:szCs w:val="32"/>
          <w:lang w:val="en-US" w:eastAsia="zh-CN"/>
        </w:rPr>
      </w:pPr>
      <w:bookmarkStart w:id="8" w:name="_Toc30681"/>
      <w:bookmarkStart w:id="9" w:name="_Toc512450098"/>
      <w:bookmarkStart w:id="10" w:name="bookmark12"/>
      <w:r>
        <w:rPr>
          <w:rFonts w:hint="eastAsia" w:ascii="楷体_GB2312" w:hAnsi="楷体_GB2312" w:eastAsia="楷体_GB2312" w:cs="楷体_GB2312"/>
          <w:color w:val="auto"/>
          <w:sz w:val="32"/>
          <w:szCs w:val="32"/>
          <w:lang w:val="en-US" w:eastAsia="zh-CN"/>
        </w:rPr>
        <w:t>1、组织领导措施</w:t>
      </w:r>
      <w:bookmarkEnd w:id="8"/>
      <w:bookmarkEnd w:id="9"/>
    </w:p>
    <w:p>
      <w:pPr>
        <w:keepNext w:val="0"/>
        <w:keepLines w:val="0"/>
        <w:pageBreakBefore w:val="0"/>
        <w:widowControl w:val="0"/>
        <w:kinsoku/>
        <w:wordWrap/>
        <w:overflowPunct/>
        <w:topLinePunct w:val="0"/>
        <w:autoSpaceDE/>
        <w:autoSpaceDN/>
        <w:bidi w:val="0"/>
        <w:adjustRightInd/>
        <w:snapToGrid/>
        <w:spacing w:line="520" w:lineRule="exact"/>
        <w:ind w:left="0" w:leftChars="0" w:right="0" w:firstLine="640" w:firstLineChars="200"/>
        <w:jc w:val="both"/>
        <w:textAlignment w:val="baseline"/>
        <w:rPr>
          <w:rFonts w:hint="eastAsia" w:ascii="仿宋" w:hAnsi="仿宋" w:eastAsia="仿宋" w:cs="仿宋"/>
          <w:color w:val="auto"/>
          <w:kern w:val="0"/>
          <w:sz w:val="32"/>
          <w:szCs w:val="32"/>
          <w:u w:val="none" w:color="000000"/>
          <w:lang w:val="en-US" w:eastAsia="zh-CN"/>
        </w:rPr>
      </w:pPr>
      <w:r>
        <w:rPr>
          <w:rFonts w:hint="eastAsia" w:ascii="仿宋" w:hAnsi="仿宋" w:eastAsia="仿宋" w:cs="仿宋"/>
          <w:color w:val="auto"/>
          <w:kern w:val="0"/>
          <w:sz w:val="32"/>
          <w:szCs w:val="32"/>
          <w:u w:val="none" w:color="000000"/>
          <w:lang w:val="en-US" w:eastAsia="zh-CN"/>
        </w:rPr>
        <w:t>合理、科学地确定项目组织机构和配置人力资源是保证项目建设和正常运行、提高效率的重要条件。本项目成立2021年农业废弃物农膜利用项目工作领导组及技术指导组。</w:t>
      </w:r>
    </w:p>
    <w:p>
      <w:pPr>
        <w:pStyle w:val="3"/>
        <w:keepNext w:val="0"/>
        <w:keepLines w:val="0"/>
        <w:pageBreakBefore w:val="0"/>
        <w:widowControl w:val="0"/>
        <w:numPr>
          <w:ilvl w:val="0"/>
          <w:numId w:val="0"/>
        </w:numPr>
        <w:kinsoku/>
        <w:wordWrap/>
        <w:overflowPunct/>
        <w:topLinePunct w:val="0"/>
        <w:autoSpaceDE/>
        <w:autoSpaceDN/>
        <w:bidi w:val="0"/>
        <w:adjustRightInd/>
        <w:snapToGrid/>
        <w:spacing w:after="0" w:line="520" w:lineRule="exact"/>
        <w:ind w:left="0" w:leftChars="0" w:right="0" w:firstLine="640" w:firstLineChars="200"/>
        <w:jc w:val="both"/>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组  长：展红强（局长）</w:t>
      </w:r>
    </w:p>
    <w:p>
      <w:pPr>
        <w:pStyle w:val="3"/>
        <w:keepNext w:val="0"/>
        <w:keepLines w:val="0"/>
        <w:pageBreakBefore w:val="0"/>
        <w:widowControl w:val="0"/>
        <w:numPr>
          <w:ilvl w:val="0"/>
          <w:numId w:val="0"/>
        </w:numPr>
        <w:kinsoku/>
        <w:wordWrap/>
        <w:overflowPunct/>
        <w:topLinePunct w:val="0"/>
        <w:autoSpaceDE/>
        <w:autoSpaceDN/>
        <w:bidi w:val="0"/>
        <w:adjustRightInd/>
        <w:snapToGrid/>
        <w:spacing w:after="0" w:line="520" w:lineRule="exact"/>
        <w:ind w:left="0" w:leftChars="0" w:right="0" w:firstLine="640" w:firstLineChars="200"/>
        <w:jc w:val="both"/>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副组长：王建强（副局长）</w:t>
      </w:r>
    </w:p>
    <w:p>
      <w:pPr>
        <w:pStyle w:val="3"/>
        <w:keepNext w:val="0"/>
        <w:keepLines w:val="0"/>
        <w:pageBreakBefore w:val="0"/>
        <w:widowControl w:val="0"/>
        <w:numPr>
          <w:ilvl w:val="0"/>
          <w:numId w:val="0"/>
        </w:numPr>
        <w:kinsoku/>
        <w:wordWrap/>
        <w:overflowPunct/>
        <w:topLinePunct w:val="0"/>
        <w:autoSpaceDE/>
        <w:autoSpaceDN/>
        <w:bidi w:val="0"/>
        <w:adjustRightInd/>
        <w:snapToGrid/>
        <w:spacing w:after="0" w:line="520" w:lineRule="exact"/>
        <w:ind w:left="0" w:leftChars="0" w:right="0" w:firstLine="640" w:firstLineChars="200"/>
        <w:jc w:val="both"/>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成  员：孙礼斌（环保站站长）</w:t>
      </w:r>
    </w:p>
    <w:p>
      <w:pPr>
        <w:pStyle w:val="3"/>
        <w:keepNext w:val="0"/>
        <w:keepLines w:val="0"/>
        <w:pageBreakBefore w:val="0"/>
        <w:widowControl w:val="0"/>
        <w:numPr>
          <w:ilvl w:val="0"/>
          <w:numId w:val="0"/>
        </w:numPr>
        <w:kinsoku/>
        <w:wordWrap/>
        <w:overflowPunct/>
        <w:topLinePunct w:val="0"/>
        <w:autoSpaceDE/>
        <w:autoSpaceDN/>
        <w:bidi w:val="0"/>
        <w:adjustRightInd/>
        <w:snapToGrid/>
        <w:spacing w:after="0" w:line="520" w:lineRule="exact"/>
        <w:ind w:left="0" w:leftChars="0" w:right="0" w:firstLine="1920" w:firstLineChars="600"/>
        <w:jc w:val="both"/>
        <w:textAlignment w:val="auto"/>
        <w:rPr>
          <w:rFonts w:hint="default"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任晓勇（植保站站长）</w:t>
      </w:r>
    </w:p>
    <w:p>
      <w:pPr>
        <w:pStyle w:val="3"/>
        <w:keepNext w:val="0"/>
        <w:keepLines w:val="0"/>
        <w:pageBreakBefore w:val="0"/>
        <w:widowControl w:val="0"/>
        <w:numPr>
          <w:ilvl w:val="0"/>
          <w:numId w:val="0"/>
        </w:numPr>
        <w:kinsoku/>
        <w:wordWrap/>
        <w:overflowPunct/>
        <w:topLinePunct w:val="0"/>
        <w:autoSpaceDE/>
        <w:autoSpaceDN/>
        <w:bidi w:val="0"/>
        <w:adjustRightInd/>
        <w:snapToGrid/>
        <w:spacing w:after="0" w:line="520" w:lineRule="exact"/>
        <w:ind w:left="0" w:leftChars="0" w:right="0" w:firstLine="640" w:firstLineChars="200"/>
        <w:jc w:val="both"/>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 xml:space="preserve">        展  丽（科教站副站长）</w:t>
      </w:r>
    </w:p>
    <w:p>
      <w:pPr>
        <w:pStyle w:val="3"/>
        <w:keepNext w:val="0"/>
        <w:keepLines w:val="0"/>
        <w:pageBreakBefore w:val="0"/>
        <w:widowControl w:val="0"/>
        <w:numPr>
          <w:ilvl w:val="0"/>
          <w:numId w:val="0"/>
        </w:numPr>
        <w:kinsoku/>
        <w:wordWrap/>
        <w:overflowPunct/>
        <w:topLinePunct w:val="0"/>
        <w:autoSpaceDE/>
        <w:autoSpaceDN/>
        <w:bidi w:val="0"/>
        <w:adjustRightInd/>
        <w:snapToGrid/>
        <w:spacing w:after="0" w:line="520" w:lineRule="exact"/>
        <w:ind w:left="0" w:leftChars="0" w:right="0" w:firstLine="640" w:firstLineChars="200"/>
        <w:jc w:val="both"/>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办公室（技术指导组）主任：孙礼斌（兼任）</w:t>
      </w:r>
    </w:p>
    <w:p>
      <w:pPr>
        <w:pStyle w:val="3"/>
        <w:keepNext w:val="0"/>
        <w:keepLines w:val="0"/>
        <w:pageBreakBefore w:val="0"/>
        <w:widowControl w:val="0"/>
        <w:numPr>
          <w:ilvl w:val="0"/>
          <w:numId w:val="0"/>
        </w:numPr>
        <w:kinsoku/>
        <w:wordWrap/>
        <w:overflowPunct/>
        <w:topLinePunct w:val="0"/>
        <w:autoSpaceDE/>
        <w:autoSpaceDN/>
        <w:bidi w:val="0"/>
        <w:adjustRightInd/>
        <w:snapToGrid/>
        <w:spacing w:after="0" w:line="520" w:lineRule="exact"/>
        <w:ind w:right="0" w:firstLine="640" w:firstLineChars="200"/>
        <w:jc w:val="both"/>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 xml:space="preserve">成  员： </w:t>
      </w:r>
    </w:p>
    <w:p>
      <w:pPr>
        <w:pStyle w:val="3"/>
        <w:keepNext w:val="0"/>
        <w:keepLines w:val="0"/>
        <w:pageBreakBefore w:val="0"/>
        <w:widowControl w:val="0"/>
        <w:numPr>
          <w:ilvl w:val="0"/>
          <w:numId w:val="0"/>
        </w:numPr>
        <w:kinsoku/>
        <w:wordWrap/>
        <w:overflowPunct/>
        <w:topLinePunct w:val="0"/>
        <w:autoSpaceDE/>
        <w:autoSpaceDN/>
        <w:bidi w:val="0"/>
        <w:adjustRightInd/>
        <w:snapToGrid/>
        <w:spacing w:after="0" w:line="520" w:lineRule="exact"/>
        <w:ind w:left="0" w:leftChars="0" w:right="0" w:firstLine="640" w:firstLineChars="200"/>
        <w:jc w:val="both"/>
        <w:textAlignment w:val="auto"/>
        <w:rPr>
          <w:rFonts w:hint="default"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代晓林</w:t>
      </w:r>
      <w:r>
        <w:rPr>
          <w:rFonts w:hint="eastAsia" w:ascii="仿宋" w:hAnsi="仿宋" w:eastAsia="仿宋" w:cs="仿宋"/>
          <w:color w:val="auto"/>
          <w:spacing w:val="-11"/>
          <w:kern w:val="2"/>
          <w:sz w:val="32"/>
          <w:szCs w:val="32"/>
          <w:lang w:val="en-US" w:eastAsia="zh-CN" w:bidi="ar-SA"/>
        </w:rPr>
        <w:t xml:space="preserve">、 </w:t>
      </w:r>
      <w:r>
        <w:rPr>
          <w:rFonts w:hint="eastAsia" w:ascii="仿宋" w:hAnsi="仿宋" w:eastAsia="仿宋" w:cs="仿宋"/>
          <w:color w:val="auto"/>
          <w:kern w:val="2"/>
          <w:sz w:val="32"/>
          <w:szCs w:val="32"/>
          <w:lang w:val="en-US" w:eastAsia="zh-CN" w:bidi="ar-SA"/>
        </w:rPr>
        <w:t>朱文娟</w:t>
      </w:r>
      <w:r>
        <w:rPr>
          <w:rFonts w:hint="eastAsia" w:ascii="仿宋" w:hAnsi="仿宋" w:eastAsia="仿宋" w:cs="仿宋"/>
          <w:color w:val="auto"/>
          <w:spacing w:val="-11"/>
          <w:kern w:val="2"/>
          <w:sz w:val="32"/>
          <w:szCs w:val="32"/>
          <w:lang w:val="en-US" w:eastAsia="zh-CN" w:bidi="ar-SA"/>
        </w:rPr>
        <w:t>、荆晓霞、</w:t>
      </w:r>
      <w:r>
        <w:rPr>
          <w:rFonts w:hint="eastAsia" w:ascii="仿宋" w:hAnsi="仿宋" w:eastAsia="仿宋" w:cs="仿宋"/>
          <w:color w:val="auto"/>
          <w:kern w:val="2"/>
          <w:sz w:val="32"/>
          <w:szCs w:val="32"/>
          <w:lang w:val="en-US" w:eastAsia="zh-CN" w:bidi="ar-SA"/>
        </w:rPr>
        <w:t>尚静欣</w:t>
      </w:r>
      <w:r>
        <w:rPr>
          <w:rFonts w:hint="eastAsia" w:ascii="仿宋" w:hAnsi="仿宋" w:eastAsia="仿宋" w:cs="仿宋"/>
          <w:color w:val="auto"/>
          <w:spacing w:val="-11"/>
          <w:kern w:val="2"/>
          <w:sz w:val="32"/>
          <w:szCs w:val="32"/>
          <w:lang w:val="en-US" w:eastAsia="zh-CN" w:bidi="ar-SA"/>
        </w:rPr>
        <w:t>、</w:t>
      </w:r>
      <w:r>
        <w:rPr>
          <w:rFonts w:hint="eastAsia" w:ascii="仿宋" w:hAnsi="仿宋" w:eastAsia="仿宋" w:cs="仿宋"/>
          <w:color w:val="auto"/>
          <w:kern w:val="2"/>
          <w:sz w:val="32"/>
          <w:szCs w:val="32"/>
          <w:lang w:val="en-US" w:eastAsia="zh-CN" w:bidi="ar-SA"/>
        </w:rPr>
        <w:t>李永刚、杨晓峰</w:t>
      </w:r>
    </w:p>
    <w:p>
      <w:pPr>
        <w:keepNext w:val="0"/>
        <w:keepLines w:val="0"/>
        <w:pageBreakBefore w:val="0"/>
        <w:widowControl w:val="0"/>
        <w:kinsoku/>
        <w:wordWrap/>
        <w:overflowPunct/>
        <w:topLinePunct w:val="0"/>
        <w:autoSpaceDE/>
        <w:autoSpaceDN/>
        <w:bidi w:val="0"/>
        <w:adjustRightInd/>
        <w:snapToGrid/>
        <w:spacing w:line="520" w:lineRule="exact"/>
        <w:ind w:left="0" w:leftChars="0" w:right="0" w:firstLine="640" w:firstLineChars="200"/>
        <w:jc w:val="both"/>
        <w:textAlignment w:val="baseline"/>
        <w:rPr>
          <w:rFonts w:hint="eastAsia" w:ascii="仿宋" w:hAnsi="仿宋" w:eastAsia="仿宋" w:cs="仿宋"/>
          <w:color w:val="auto"/>
          <w:kern w:val="0"/>
          <w:sz w:val="32"/>
          <w:szCs w:val="32"/>
          <w:u w:val="none" w:color="000000"/>
          <w:lang w:val="en-US" w:eastAsia="zh-CN"/>
        </w:rPr>
      </w:pPr>
      <w:r>
        <w:rPr>
          <w:rFonts w:hint="eastAsia" w:ascii="仿宋" w:hAnsi="仿宋" w:eastAsia="仿宋" w:cs="仿宋"/>
          <w:color w:val="auto"/>
          <w:kern w:val="0"/>
          <w:sz w:val="32"/>
          <w:szCs w:val="32"/>
          <w:u w:val="none" w:color="000000"/>
          <w:lang w:val="en-US" w:eastAsia="zh-CN"/>
        </w:rPr>
        <w:t>本项目实施应科学组织建设过程中各个阶段的工作，按工程进度安排建设资金，保证项目按期建成运营，发挥投资效益。</w:t>
      </w:r>
    </w:p>
    <w:p>
      <w:pPr>
        <w:pageBreakBefore w:val="0"/>
        <w:widowControl w:val="0"/>
        <w:kinsoku/>
        <w:wordWrap/>
        <w:overflowPunct/>
        <w:topLinePunct w:val="0"/>
        <w:autoSpaceDE/>
        <w:autoSpaceDN/>
        <w:bidi w:val="0"/>
        <w:adjustRightInd/>
        <w:snapToGrid/>
        <w:spacing w:line="540" w:lineRule="exact"/>
        <w:ind w:left="0" w:leftChars="0" w:right="0" w:firstLine="640" w:firstLineChars="200"/>
        <w:jc w:val="both"/>
        <w:outlineLvl w:val="1"/>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2、项目建设管理</w:t>
      </w:r>
    </w:p>
    <w:p>
      <w:pPr>
        <w:pageBreakBefore w:val="0"/>
        <w:widowControl w:val="0"/>
        <w:kinsoku/>
        <w:wordWrap/>
        <w:overflowPunct/>
        <w:topLinePunct w:val="0"/>
        <w:autoSpaceDE/>
        <w:autoSpaceDN/>
        <w:bidi w:val="0"/>
        <w:adjustRightInd/>
        <w:snapToGrid/>
        <w:spacing w:line="540" w:lineRule="exact"/>
        <w:ind w:left="0" w:leftChars="0" w:right="0" w:firstLine="640" w:firstLineChars="200"/>
        <w:jc w:val="both"/>
        <w:textAlignment w:val="baseline"/>
        <w:rPr>
          <w:rFonts w:hint="eastAsia" w:ascii="仿宋" w:hAnsi="仿宋" w:eastAsia="仿宋" w:cs="仿宋"/>
          <w:color w:val="auto"/>
          <w:kern w:val="0"/>
          <w:sz w:val="32"/>
          <w:szCs w:val="32"/>
          <w:u w:val="none" w:color="000000"/>
          <w:lang w:val="en-US" w:eastAsia="zh-CN"/>
        </w:rPr>
      </w:pPr>
      <w:r>
        <w:rPr>
          <w:rFonts w:hint="eastAsia" w:ascii="仿宋" w:hAnsi="仿宋" w:eastAsia="仿宋" w:cs="仿宋"/>
          <w:color w:val="auto"/>
          <w:kern w:val="0"/>
          <w:sz w:val="32"/>
          <w:szCs w:val="32"/>
          <w:u w:val="none" w:color="000000"/>
          <w:lang w:val="en-US" w:eastAsia="zh-CN"/>
        </w:rPr>
        <w:t>在项目实施过程中严格遵守程序，按照实施方案组织实施，不擅自改变项目内容和补贴标准。</w:t>
      </w:r>
    </w:p>
    <w:p>
      <w:pPr>
        <w:pageBreakBefore w:val="0"/>
        <w:widowControl w:val="0"/>
        <w:kinsoku/>
        <w:wordWrap/>
        <w:overflowPunct/>
        <w:topLinePunct w:val="0"/>
        <w:autoSpaceDE/>
        <w:autoSpaceDN/>
        <w:bidi w:val="0"/>
        <w:adjustRightInd/>
        <w:snapToGrid/>
        <w:spacing w:line="540" w:lineRule="exact"/>
        <w:ind w:left="0" w:leftChars="0" w:right="0" w:firstLine="640" w:firstLineChars="200"/>
        <w:jc w:val="both"/>
        <w:textAlignment w:val="baseline"/>
        <w:rPr>
          <w:rFonts w:hint="eastAsia" w:ascii="仿宋" w:hAnsi="仿宋" w:eastAsia="仿宋" w:cs="仿宋"/>
          <w:sz w:val="32"/>
          <w:szCs w:val="32"/>
          <w:lang w:val="en-US" w:eastAsia="zh-CN"/>
        </w:rPr>
      </w:pPr>
      <w:r>
        <w:rPr>
          <w:rFonts w:hint="eastAsia" w:ascii="仿宋" w:hAnsi="仿宋" w:eastAsia="仿宋" w:cs="仿宋"/>
          <w:color w:val="auto"/>
          <w:kern w:val="0"/>
          <w:sz w:val="32"/>
          <w:szCs w:val="32"/>
          <w:u w:val="none" w:color="000000"/>
          <w:lang w:val="en-US" w:eastAsia="zh-CN"/>
        </w:rPr>
        <w:t>搞好项目的竣工验收和档案管理工作。项目完成后，各镇（街道）进行自检、自验。自验合格后申请市农业农村局进行验收。验收合格后，将该项目全部资料，按有关规定及时整理归档，完善项目档案管理。</w:t>
      </w:r>
    </w:p>
    <w:p>
      <w:pPr>
        <w:pageBreakBefore w:val="0"/>
        <w:widowControl w:val="0"/>
        <w:kinsoku/>
        <w:wordWrap/>
        <w:overflowPunct/>
        <w:topLinePunct w:val="0"/>
        <w:autoSpaceDE/>
        <w:autoSpaceDN/>
        <w:bidi w:val="0"/>
        <w:adjustRightInd/>
        <w:snapToGrid/>
        <w:spacing w:line="540" w:lineRule="exact"/>
        <w:ind w:left="0" w:leftChars="0" w:right="0" w:firstLine="640" w:firstLineChars="200"/>
        <w:jc w:val="both"/>
        <w:outlineLvl w:val="1"/>
        <w:rPr>
          <w:rFonts w:hint="eastAsia" w:ascii="楷体_GB2312" w:hAnsi="楷体_GB2312" w:eastAsia="楷体_GB2312" w:cs="楷体_GB2312"/>
          <w:color w:val="auto"/>
          <w:sz w:val="32"/>
          <w:szCs w:val="32"/>
          <w:lang w:val="en-US" w:eastAsia="zh-CN"/>
        </w:rPr>
      </w:pPr>
      <w:bookmarkStart w:id="11" w:name="_Toc31135"/>
      <w:bookmarkStart w:id="12" w:name="_Toc512450100"/>
      <w:r>
        <w:rPr>
          <w:rFonts w:hint="eastAsia" w:ascii="楷体_GB2312" w:hAnsi="楷体_GB2312" w:eastAsia="楷体_GB2312" w:cs="楷体_GB2312"/>
          <w:color w:val="auto"/>
          <w:sz w:val="32"/>
          <w:szCs w:val="32"/>
          <w:lang w:val="en-US" w:eastAsia="zh-CN"/>
        </w:rPr>
        <w:t>3、资金管理</w:t>
      </w:r>
      <w:bookmarkEnd w:id="11"/>
      <w:bookmarkEnd w:id="12"/>
    </w:p>
    <w:p>
      <w:pPr>
        <w:pageBreakBefore w:val="0"/>
        <w:widowControl w:val="0"/>
        <w:kinsoku/>
        <w:wordWrap/>
        <w:overflowPunct/>
        <w:topLinePunct w:val="0"/>
        <w:autoSpaceDE/>
        <w:autoSpaceDN/>
        <w:bidi w:val="0"/>
        <w:adjustRightInd/>
        <w:snapToGrid/>
        <w:spacing w:line="540" w:lineRule="exact"/>
        <w:ind w:left="0" w:leftChars="0" w:right="0" w:firstLine="640" w:firstLineChars="200"/>
        <w:jc w:val="both"/>
        <w:textAlignment w:val="baseline"/>
        <w:rPr>
          <w:rFonts w:hint="eastAsia" w:ascii="仿宋" w:hAnsi="仿宋" w:eastAsia="仿宋" w:cs="仿宋"/>
          <w:color w:val="auto"/>
          <w:kern w:val="0"/>
          <w:sz w:val="32"/>
          <w:szCs w:val="32"/>
          <w:u w:val="none" w:color="000000"/>
          <w:lang w:val="en-US" w:eastAsia="zh-CN"/>
        </w:rPr>
      </w:pPr>
      <w:r>
        <w:rPr>
          <w:rFonts w:hint="eastAsia" w:ascii="仿宋" w:hAnsi="仿宋" w:eastAsia="仿宋" w:cs="仿宋"/>
          <w:color w:val="auto"/>
          <w:kern w:val="0"/>
          <w:sz w:val="32"/>
          <w:szCs w:val="32"/>
          <w:u w:val="none" w:color="000000"/>
          <w:lang w:val="en-US" w:eastAsia="zh-CN"/>
        </w:rPr>
        <w:t>本项目应做到专账核算、专款专用，专项管理，设立规范的财务账簿。市农业农村局按项目进度拨付，严格财务制度，对资金拨付、到位、使用情况进行检查。</w:t>
      </w:r>
    </w:p>
    <w:p>
      <w:pPr>
        <w:pStyle w:val="9"/>
        <w:keepNext/>
        <w:keepLines/>
        <w:pageBreakBefore w:val="0"/>
        <w:widowControl w:val="0"/>
        <w:shd w:val="clear" w:color="auto" w:fill="auto"/>
        <w:kinsoku/>
        <w:wordWrap/>
        <w:overflowPunct/>
        <w:topLinePunct w:val="0"/>
        <w:autoSpaceDE/>
        <w:autoSpaceDN/>
        <w:bidi w:val="0"/>
        <w:adjustRightInd/>
        <w:snapToGrid/>
        <w:spacing w:after="0" w:line="540" w:lineRule="exact"/>
        <w:ind w:left="0" w:leftChars="0" w:right="0" w:firstLine="675" w:firstLineChars="225"/>
        <w:jc w:val="both"/>
        <w:rPr>
          <w:rFonts w:hint="eastAsia" w:ascii="黑体" w:hAnsi="黑体" w:eastAsia="黑体" w:cs="黑体"/>
          <w:b w:val="0"/>
          <w:bCs/>
          <w:sz w:val="32"/>
          <w:szCs w:val="32"/>
          <w:lang w:val="en-US"/>
        </w:rPr>
      </w:pPr>
      <w:r>
        <w:rPr>
          <w:rFonts w:hint="eastAsia" w:ascii="黑体" w:hAnsi="黑体" w:eastAsia="黑体" w:cs="黑体"/>
          <w:b w:val="0"/>
          <w:bCs/>
          <w:sz w:val="32"/>
          <w:szCs w:val="32"/>
          <w:lang w:val="en-US" w:eastAsia="zh-CN"/>
        </w:rPr>
        <w:t>四</w:t>
      </w:r>
      <w:r>
        <w:rPr>
          <w:rFonts w:hint="eastAsia" w:ascii="黑体" w:hAnsi="黑体" w:eastAsia="黑体" w:cs="黑体"/>
          <w:b w:val="0"/>
          <w:bCs/>
          <w:sz w:val="32"/>
          <w:szCs w:val="32"/>
          <w:lang w:eastAsia="zh-CN"/>
        </w:rPr>
        <w:t>、</w:t>
      </w:r>
      <w:r>
        <w:rPr>
          <w:rFonts w:hint="eastAsia" w:ascii="黑体" w:hAnsi="黑体" w:eastAsia="黑体" w:cs="黑体"/>
          <w:b w:val="0"/>
          <w:bCs/>
          <w:sz w:val="32"/>
          <w:szCs w:val="32"/>
        </w:rPr>
        <w:t>项目效益</w:t>
      </w:r>
      <w:bookmarkEnd w:id="10"/>
    </w:p>
    <w:p>
      <w:pPr>
        <w:keepNext w:val="0"/>
        <w:keepLines w:val="0"/>
        <w:pageBreakBefore w:val="0"/>
        <w:widowControl w:val="0"/>
        <w:kinsoku/>
        <w:wordWrap/>
        <w:overflowPunct/>
        <w:topLinePunct w:val="0"/>
        <w:autoSpaceDE/>
        <w:autoSpaceDN/>
        <w:bidi w:val="0"/>
        <w:adjustRightInd/>
        <w:snapToGrid/>
        <w:spacing w:line="540" w:lineRule="exact"/>
        <w:ind w:left="0" w:leftChars="0" w:right="0" w:firstLine="640" w:firstLineChars="200"/>
        <w:jc w:val="both"/>
        <w:textAlignment w:val="baseline"/>
        <w:outlineLvl w:val="9"/>
        <w:rPr>
          <w:rFonts w:hint="eastAsia" w:ascii="仿宋" w:hAnsi="仿宋" w:eastAsia="仿宋" w:cs="仿宋"/>
          <w:color w:val="auto"/>
          <w:kern w:val="0"/>
          <w:sz w:val="32"/>
          <w:szCs w:val="32"/>
          <w:u w:val="none" w:color="000000"/>
          <w:lang w:val="en-US" w:eastAsia="zh-CN"/>
        </w:rPr>
      </w:pPr>
      <w:r>
        <w:rPr>
          <w:rFonts w:hint="eastAsia" w:ascii="楷体_GB2312" w:hAnsi="楷体_GB2312" w:eastAsia="楷体_GB2312" w:cs="楷体_GB2312"/>
          <w:color w:val="auto"/>
          <w:sz w:val="32"/>
          <w:szCs w:val="32"/>
          <w:lang w:val="en-US" w:eastAsia="zh-CN"/>
        </w:rPr>
        <w:t>1、经济效益：</w:t>
      </w:r>
      <w:r>
        <w:rPr>
          <w:rFonts w:hint="eastAsia" w:ascii="仿宋" w:hAnsi="仿宋" w:eastAsia="仿宋" w:cs="仿宋"/>
          <w:color w:val="auto"/>
          <w:kern w:val="0"/>
          <w:sz w:val="32"/>
          <w:szCs w:val="32"/>
          <w:u w:val="none" w:color="000000"/>
          <w:lang w:val="en-US" w:eastAsia="zh-CN"/>
        </w:rPr>
        <w:t>项目实施后，可回收购废旧农膜120吨，增加农民收入15余万元。</w:t>
      </w:r>
    </w:p>
    <w:p>
      <w:pPr>
        <w:keepNext w:val="0"/>
        <w:keepLines w:val="0"/>
        <w:pageBreakBefore w:val="0"/>
        <w:widowControl w:val="0"/>
        <w:kinsoku/>
        <w:wordWrap/>
        <w:overflowPunct/>
        <w:topLinePunct w:val="0"/>
        <w:autoSpaceDE/>
        <w:autoSpaceDN/>
        <w:bidi w:val="0"/>
        <w:adjustRightInd/>
        <w:snapToGrid/>
        <w:spacing w:line="540" w:lineRule="exact"/>
        <w:ind w:left="0" w:leftChars="0" w:right="0" w:firstLine="640" w:firstLineChars="200"/>
        <w:jc w:val="both"/>
        <w:textAlignment w:val="baseline"/>
        <w:outlineLvl w:val="9"/>
        <w:rPr>
          <w:rFonts w:hint="eastAsia" w:ascii="仿宋" w:hAnsi="仿宋" w:eastAsia="仿宋" w:cs="仿宋"/>
          <w:color w:val="auto"/>
          <w:kern w:val="0"/>
          <w:sz w:val="32"/>
          <w:szCs w:val="32"/>
          <w:u w:val="none" w:color="000000"/>
          <w:lang w:val="en-US" w:eastAsia="zh-CN"/>
        </w:rPr>
      </w:pPr>
      <w:r>
        <w:rPr>
          <w:rFonts w:hint="eastAsia" w:ascii="楷体_GB2312" w:hAnsi="楷体_GB2312" w:eastAsia="楷体_GB2312" w:cs="楷体_GB2312"/>
          <w:color w:val="auto"/>
          <w:sz w:val="32"/>
          <w:szCs w:val="32"/>
          <w:lang w:val="en-US" w:eastAsia="zh-CN"/>
        </w:rPr>
        <w:t>2、社会效益：</w:t>
      </w:r>
      <w:r>
        <w:rPr>
          <w:rFonts w:hint="eastAsia" w:ascii="仿宋" w:hAnsi="仿宋" w:eastAsia="仿宋" w:cs="仿宋"/>
          <w:color w:val="auto"/>
          <w:kern w:val="0"/>
          <w:sz w:val="32"/>
          <w:szCs w:val="32"/>
          <w:u w:val="none" w:color="000000"/>
          <w:lang w:val="en-US" w:eastAsia="zh-CN"/>
        </w:rPr>
        <w:t>拓展了废旧农膜回收途径及机制，既增加农民收入，又减少残留污染，还可变废为宝，节约资源。</w:t>
      </w:r>
    </w:p>
    <w:p>
      <w:pPr>
        <w:keepNext w:val="0"/>
        <w:keepLines w:val="0"/>
        <w:pageBreakBefore w:val="0"/>
        <w:widowControl w:val="0"/>
        <w:kinsoku/>
        <w:wordWrap/>
        <w:overflowPunct/>
        <w:topLinePunct w:val="0"/>
        <w:autoSpaceDE/>
        <w:autoSpaceDN/>
        <w:bidi w:val="0"/>
        <w:adjustRightInd/>
        <w:snapToGrid/>
        <w:spacing w:line="540" w:lineRule="exact"/>
        <w:ind w:left="0" w:leftChars="0" w:right="0" w:firstLine="640" w:firstLineChars="200"/>
        <w:jc w:val="both"/>
        <w:textAlignment w:val="baseline"/>
        <w:outlineLvl w:val="9"/>
        <w:rPr>
          <w:rFonts w:hint="eastAsia" w:ascii="仿宋" w:hAnsi="仿宋" w:eastAsia="仿宋" w:cs="仿宋"/>
          <w:color w:val="auto"/>
          <w:kern w:val="0"/>
          <w:sz w:val="32"/>
          <w:szCs w:val="32"/>
          <w:u w:val="none" w:color="000000"/>
          <w:lang w:val="en-US" w:eastAsia="zh-CN"/>
        </w:rPr>
      </w:pPr>
      <w:r>
        <w:rPr>
          <w:rFonts w:hint="eastAsia" w:ascii="楷体_GB2312" w:hAnsi="楷体_GB2312" w:eastAsia="楷体_GB2312" w:cs="楷体_GB2312"/>
          <w:color w:val="auto"/>
          <w:sz w:val="32"/>
          <w:szCs w:val="32"/>
          <w:lang w:val="en-US" w:eastAsia="zh-CN"/>
        </w:rPr>
        <w:t>3、生态效益：</w:t>
      </w:r>
      <w:r>
        <w:rPr>
          <w:rFonts w:hint="eastAsia" w:ascii="仿宋" w:hAnsi="仿宋" w:eastAsia="仿宋" w:cs="仿宋"/>
          <w:color w:val="auto"/>
          <w:kern w:val="0"/>
          <w:sz w:val="32"/>
          <w:szCs w:val="32"/>
          <w:u w:val="none" w:color="000000"/>
          <w:lang w:val="en-US" w:eastAsia="zh-CN"/>
        </w:rPr>
        <w:t>废旧农膜的回收利用，一方面杜绝废旧农膜被风吹至田间地头、房前屋后，电线高压线，改善农村人居环境；另一方面减少对土壤、地下水的污染，保护广大群众的身体健康。</w:t>
      </w:r>
    </w:p>
    <w:p>
      <w:pPr>
        <w:keepNext w:val="0"/>
        <w:keepLines w:val="0"/>
        <w:widowControl/>
        <w:suppressLineNumbers w:val="0"/>
        <w:ind w:firstLine="640" w:firstLineChars="200"/>
        <w:jc w:val="left"/>
        <w:textAlignment w:val="center"/>
        <w:rPr>
          <w:rFonts w:hint="eastAsia"/>
          <w:sz w:val="32"/>
          <w:szCs w:val="32"/>
          <w:lang w:val="en-US" w:eastAsia="zh-CN"/>
        </w:rPr>
      </w:pPr>
      <w:r>
        <w:rPr>
          <w:rFonts w:hint="eastAsia" w:ascii="黑体" w:hAnsi="宋体" w:eastAsia="黑体" w:cs="黑体"/>
          <w:i w:val="0"/>
          <w:color w:val="000000"/>
          <w:kern w:val="0"/>
          <w:sz w:val="32"/>
          <w:szCs w:val="32"/>
          <w:u w:val="none"/>
          <w:lang w:val="en-US" w:eastAsia="zh-CN" w:bidi="ar"/>
        </w:rPr>
        <w:t>五、项目资金使用计划表</w:t>
      </w:r>
    </w:p>
    <w:tbl>
      <w:tblPr>
        <w:tblStyle w:val="6"/>
        <w:tblW w:w="93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677"/>
        <w:gridCol w:w="1650"/>
        <w:gridCol w:w="900"/>
        <w:gridCol w:w="855"/>
        <w:gridCol w:w="53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95" w:hRule="atLeast"/>
        </w:trPr>
        <w:tc>
          <w:tcPr>
            <w:tcW w:w="9390" w:type="dxa"/>
            <w:gridSpan w:val="5"/>
            <w:tcBorders>
              <w:top w:val="nil"/>
              <w:left w:val="nil"/>
              <w:bottom w:val="nil"/>
              <w:right w:val="nil"/>
            </w:tcBorders>
            <w:shd w:val="clear" w:color="auto" w:fill="auto"/>
            <w:tcMar>
              <w:top w:w="15" w:type="dxa"/>
              <w:left w:w="15" w:type="dxa"/>
              <w:right w:w="15" w:type="dxa"/>
            </w:tcMar>
            <w:vAlign w:val="center"/>
          </w:tcPr>
          <w:p>
            <w:pPr>
              <w:keepNext w:val="0"/>
              <w:keepLines w:val="0"/>
              <w:widowControl/>
              <w:suppressLineNumbers w:val="0"/>
              <w:ind w:firstLine="280" w:firstLineChars="100"/>
              <w:jc w:val="center"/>
              <w:textAlignment w:val="center"/>
              <w:rPr>
                <w:rFonts w:ascii="黑体" w:hAnsi="宋体" w:eastAsia="黑体" w:cs="黑体"/>
                <w:i w:val="0"/>
                <w:color w:val="000000"/>
                <w:sz w:val="28"/>
                <w:szCs w:val="28"/>
                <w:u w:val="none"/>
              </w:rPr>
            </w:pPr>
            <w:r>
              <w:rPr>
                <w:rFonts w:hint="eastAsia" w:ascii="黑体" w:hAnsi="宋体" w:eastAsia="黑体" w:cs="黑体"/>
                <w:i w:val="0"/>
                <w:color w:val="000000"/>
                <w:kern w:val="0"/>
                <w:sz w:val="28"/>
                <w:szCs w:val="28"/>
                <w:u w:val="none"/>
                <w:lang w:val="en-US" w:eastAsia="zh-CN" w:bidi="ar"/>
              </w:rPr>
              <w:t>永济市2021年农业废弃物农膜利用项目资金使用计划表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677" w:type="dxa"/>
            <w:tcBorders>
              <w:top w:val="nil"/>
              <w:left w:val="nil"/>
              <w:bottom w:val="nil"/>
              <w:right w:val="nil"/>
            </w:tcBorders>
            <w:shd w:val="clear" w:color="auto" w:fill="auto"/>
            <w:tcMar>
              <w:top w:w="15" w:type="dxa"/>
              <w:left w:w="15" w:type="dxa"/>
              <w:right w:w="15" w:type="dxa"/>
            </w:tcMar>
            <w:vAlign w:val="bottom"/>
          </w:tcPr>
          <w:p>
            <w:pPr>
              <w:jc w:val="left"/>
              <w:rPr>
                <w:rFonts w:hint="eastAsia" w:ascii="宋体" w:hAnsi="宋体" w:eastAsia="宋体" w:cs="宋体"/>
                <w:i w:val="0"/>
                <w:color w:val="000000"/>
                <w:sz w:val="24"/>
                <w:szCs w:val="24"/>
                <w:u w:val="none"/>
              </w:rPr>
            </w:pPr>
          </w:p>
        </w:tc>
        <w:tc>
          <w:tcPr>
            <w:tcW w:w="1650" w:type="dxa"/>
            <w:tcBorders>
              <w:top w:val="nil"/>
              <w:left w:val="nil"/>
              <w:bottom w:val="nil"/>
              <w:right w:val="nil"/>
            </w:tcBorders>
            <w:shd w:val="clear" w:color="auto" w:fill="auto"/>
            <w:tcMar>
              <w:top w:w="15" w:type="dxa"/>
              <w:left w:w="15" w:type="dxa"/>
              <w:right w:w="15" w:type="dxa"/>
            </w:tcMar>
            <w:vAlign w:val="bottom"/>
          </w:tcPr>
          <w:p>
            <w:pPr>
              <w:jc w:val="left"/>
              <w:rPr>
                <w:rFonts w:hint="eastAsia" w:ascii="宋体" w:hAnsi="宋体" w:eastAsia="宋体" w:cs="宋体"/>
                <w:i w:val="0"/>
                <w:color w:val="000000"/>
                <w:sz w:val="24"/>
                <w:szCs w:val="24"/>
                <w:u w:val="none"/>
              </w:rPr>
            </w:pPr>
          </w:p>
        </w:tc>
        <w:tc>
          <w:tcPr>
            <w:tcW w:w="900" w:type="dxa"/>
            <w:tcBorders>
              <w:top w:val="nil"/>
              <w:left w:val="nil"/>
              <w:bottom w:val="nil"/>
              <w:right w:val="nil"/>
            </w:tcBorders>
            <w:shd w:val="clear" w:color="auto" w:fill="auto"/>
            <w:tcMar>
              <w:top w:w="15" w:type="dxa"/>
              <w:left w:w="15" w:type="dxa"/>
              <w:right w:w="15" w:type="dxa"/>
            </w:tcMar>
            <w:vAlign w:val="bottom"/>
          </w:tcPr>
          <w:p>
            <w:pPr>
              <w:jc w:val="left"/>
              <w:rPr>
                <w:rFonts w:hint="eastAsia" w:ascii="宋体" w:hAnsi="宋体" w:eastAsia="宋体" w:cs="宋体"/>
                <w:i w:val="0"/>
                <w:color w:val="000000"/>
                <w:sz w:val="24"/>
                <w:szCs w:val="24"/>
                <w:u w:val="none"/>
              </w:rPr>
            </w:pPr>
          </w:p>
        </w:tc>
        <w:tc>
          <w:tcPr>
            <w:tcW w:w="855" w:type="dxa"/>
            <w:tcBorders>
              <w:top w:val="nil"/>
              <w:left w:val="nil"/>
              <w:bottom w:val="nil"/>
              <w:right w:val="nil"/>
            </w:tcBorders>
            <w:shd w:val="clear" w:color="auto" w:fill="auto"/>
            <w:tcMar>
              <w:top w:w="15" w:type="dxa"/>
              <w:left w:w="15" w:type="dxa"/>
              <w:right w:w="15" w:type="dxa"/>
            </w:tcMar>
            <w:vAlign w:val="bottom"/>
          </w:tcPr>
          <w:p>
            <w:pPr>
              <w:jc w:val="left"/>
              <w:rPr>
                <w:rFonts w:hint="eastAsia" w:ascii="宋体" w:hAnsi="宋体" w:eastAsia="宋体" w:cs="宋体"/>
                <w:i w:val="0"/>
                <w:color w:val="000000"/>
                <w:sz w:val="24"/>
                <w:szCs w:val="24"/>
                <w:u w:val="none"/>
              </w:rPr>
            </w:pPr>
          </w:p>
        </w:tc>
        <w:tc>
          <w:tcPr>
            <w:tcW w:w="5308" w:type="dxa"/>
            <w:tcBorders>
              <w:top w:val="nil"/>
              <w:left w:val="nil"/>
              <w:bottom w:val="nil"/>
              <w:right w:val="nil"/>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资金单位：万元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0"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w:t>
            </w: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项目申报单位</w:t>
            </w:r>
          </w:p>
        </w:tc>
        <w:tc>
          <w:tcPr>
            <w:tcW w:w="706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cs="宋体"/>
                <w:i w:val="0"/>
                <w:color w:val="000000"/>
                <w:kern w:val="0"/>
                <w:sz w:val="20"/>
                <w:szCs w:val="20"/>
                <w:u w:val="none"/>
                <w:lang w:val="en-US" w:eastAsia="zh-CN" w:bidi="ar"/>
              </w:rPr>
              <w:t>永济市</w:t>
            </w:r>
            <w:r>
              <w:rPr>
                <w:rFonts w:hint="eastAsia" w:ascii="宋体" w:hAnsi="宋体" w:eastAsia="宋体" w:cs="宋体"/>
                <w:i w:val="0"/>
                <w:color w:val="000000"/>
                <w:kern w:val="0"/>
                <w:sz w:val="20"/>
                <w:szCs w:val="20"/>
                <w:u w:val="none"/>
                <w:lang w:val="en-US" w:eastAsia="zh-CN" w:bidi="ar"/>
              </w:rPr>
              <w:t>农业农村局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5"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w:t>
            </w: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项目实施单位</w:t>
            </w:r>
          </w:p>
        </w:tc>
        <w:tc>
          <w:tcPr>
            <w:tcW w:w="706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800" w:firstLineChars="1400"/>
              <w:jc w:val="both"/>
              <w:textAlignment w:val="center"/>
              <w:rPr>
                <w:rFonts w:hint="eastAsia" w:ascii="宋体" w:hAnsi="宋体" w:eastAsia="宋体" w:cs="宋体"/>
                <w:i w:val="0"/>
                <w:color w:val="000000"/>
                <w:sz w:val="20"/>
                <w:szCs w:val="20"/>
                <w:u w:val="none"/>
              </w:rPr>
            </w:pPr>
            <w:r>
              <w:rPr>
                <w:rFonts w:hint="eastAsia" w:ascii="宋体" w:hAnsi="宋体" w:cs="宋体"/>
                <w:i w:val="0"/>
                <w:color w:val="000000"/>
                <w:kern w:val="0"/>
                <w:sz w:val="20"/>
                <w:szCs w:val="20"/>
                <w:u w:val="none"/>
                <w:lang w:val="en-US" w:eastAsia="zh-CN" w:bidi="ar"/>
              </w:rPr>
              <w:t>永济市</w:t>
            </w:r>
            <w:r>
              <w:rPr>
                <w:rFonts w:hint="eastAsia" w:ascii="宋体" w:hAnsi="宋体" w:eastAsia="宋体" w:cs="宋体"/>
                <w:i w:val="0"/>
                <w:color w:val="000000"/>
                <w:kern w:val="0"/>
                <w:sz w:val="20"/>
                <w:szCs w:val="20"/>
                <w:u w:val="none"/>
                <w:lang w:val="en-US" w:eastAsia="zh-CN" w:bidi="ar"/>
              </w:rPr>
              <w:t>农业农村局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45"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三</w:t>
            </w: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项目实施地点</w:t>
            </w:r>
          </w:p>
        </w:tc>
        <w:tc>
          <w:tcPr>
            <w:tcW w:w="706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1200" w:firstLineChars="6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永济市</w:t>
            </w:r>
            <w:r>
              <w:rPr>
                <w:rFonts w:hint="eastAsia" w:ascii="宋体" w:hAnsi="宋体" w:cs="宋体"/>
                <w:i w:val="0"/>
                <w:color w:val="000000"/>
                <w:kern w:val="0"/>
                <w:sz w:val="20"/>
                <w:szCs w:val="20"/>
                <w:u w:val="none"/>
                <w:lang w:val="en-US" w:eastAsia="zh-CN" w:bidi="ar"/>
              </w:rPr>
              <w:t>10镇（街道）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35"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四</w:t>
            </w: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实施规模</w:t>
            </w:r>
          </w:p>
        </w:tc>
        <w:tc>
          <w:tcPr>
            <w:tcW w:w="706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1200" w:firstLineChars="60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租赁收储站</w:t>
            </w:r>
            <w:r>
              <w:rPr>
                <w:rFonts w:hint="eastAsia" w:ascii="宋体" w:hAnsi="宋体" w:cs="宋体"/>
                <w:i w:val="0"/>
                <w:color w:val="000000"/>
                <w:kern w:val="0"/>
                <w:sz w:val="20"/>
                <w:szCs w:val="20"/>
                <w:u w:val="none"/>
                <w:lang w:val="en-US" w:eastAsia="zh-CN" w:bidi="ar"/>
              </w:rPr>
              <w:t>10</w:t>
            </w:r>
            <w:r>
              <w:rPr>
                <w:rFonts w:hint="eastAsia" w:ascii="宋体" w:hAnsi="宋体" w:eastAsia="宋体" w:cs="宋体"/>
                <w:i w:val="0"/>
                <w:color w:val="000000"/>
                <w:kern w:val="0"/>
                <w:sz w:val="20"/>
                <w:szCs w:val="20"/>
                <w:u w:val="none"/>
                <w:lang w:val="en-US" w:eastAsia="zh-CN" w:bidi="ar"/>
              </w:rPr>
              <w:t xml:space="preserve">个、收购废旧农膜 </w:t>
            </w:r>
            <w:r>
              <w:rPr>
                <w:rFonts w:hint="eastAsia" w:ascii="宋体" w:hAnsi="宋体" w:cs="宋体"/>
                <w:i w:val="0"/>
                <w:color w:val="000000"/>
                <w:kern w:val="0"/>
                <w:sz w:val="20"/>
                <w:szCs w:val="20"/>
                <w:u w:val="none"/>
                <w:lang w:val="en-US" w:eastAsia="zh-CN" w:bidi="ar"/>
              </w:rPr>
              <w:t>120</w:t>
            </w:r>
            <w:r>
              <w:rPr>
                <w:rFonts w:hint="eastAsia" w:ascii="宋体" w:hAnsi="宋体" w:eastAsia="宋体" w:cs="宋体"/>
                <w:i w:val="0"/>
                <w:color w:val="000000"/>
                <w:kern w:val="0"/>
                <w:sz w:val="20"/>
                <w:szCs w:val="20"/>
                <w:u w:val="none"/>
                <w:lang w:val="en-US" w:eastAsia="zh-CN" w:bidi="ar"/>
              </w:rPr>
              <w:t>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五</w:t>
            </w: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cs="宋体"/>
                <w:i w:val="0"/>
                <w:color w:val="000000"/>
                <w:kern w:val="0"/>
                <w:sz w:val="20"/>
                <w:szCs w:val="20"/>
                <w:u w:val="none"/>
                <w:lang w:val="en-US" w:eastAsia="zh-CN" w:bidi="ar"/>
              </w:rPr>
              <w:t>永济</w:t>
            </w:r>
            <w:r>
              <w:rPr>
                <w:rFonts w:hint="eastAsia" w:ascii="宋体" w:hAnsi="宋体" w:eastAsia="宋体" w:cs="宋体"/>
                <w:i w:val="0"/>
                <w:color w:val="000000"/>
                <w:kern w:val="0"/>
                <w:sz w:val="20"/>
                <w:szCs w:val="20"/>
                <w:u w:val="none"/>
                <w:lang w:val="en-US" w:eastAsia="zh-CN" w:bidi="ar"/>
              </w:rPr>
              <w:t>市级投资数额</w:t>
            </w:r>
          </w:p>
        </w:tc>
        <w:tc>
          <w:tcPr>
            <w:tcW w:w="706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cs="宋体"/>
                <w:i w:val="0"/>
                <w:color w:val="000000"/>
                <w:kern w:val="0"/>
                <w:sz w:val="20"/>
                <w:szCs w:val="20"/>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六</w:t>
            </w:r>
          </w:p>
        </w:tc>
        <w:tc>
          <w:tcPr>
            <w:tcW w:w="8713"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cs="宋体"/>
                <w:i w:val="0"/>
                <w:color w:val="000000"/>
                <w:kern w:val="0"/>
                <w:sz w:val="20"/>
                <w:szCs w:val="20"/>
                <w:u w:val="none"/>
                <w:lang w:val="en-US" w:eastAsia="zh-CN" w:bidi="ar"/>
              </w:rPr>
              <w:t>永济</w:t>
            </w:r>
            <w:r>
              <w:rPr>
                <w:rFonts w:hint="eastAsia" w:ascii="宋体" w:hAnsi="宋体" w:eastAsia="宋体" w:cs="宋体"/>
                <w:i w:val="0"/>
                <w:color w:val="000000"/>
                <w:kern w:val="0"/>
                <w:sz w:val="20"/>
                <w:szCs w:val="20"/>
                <w:u w:val="none"/>
                <w:lang w:val="en-US" w:eastAsia="zh-CN" w:bidi="ar"/>
              </w:rPr>
              <w:t>市级投资详细支出用途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支出项目</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规模</w:t>
            </w:r>
            <w:r>
              <w:rPr>
                <w:rFonts w:hint="eastAsia" w:ascii="宋体" w:hAnsi="宋体" w:eastAsia="宋体" w:cs="宋体"/>
                <w:i w:val="0"/>
                <w:color w:val="000000"/>
                <w:kern w:val="0"/>
                <w:sz w:val="20"/>
                <w:szCs w:val="20"/>
                <w:u w:val="none"/>
                <w:lang w:val="en-US" w:eastAsia="zh-CN" w:bidi="ar"/>
              </w:rPr>
              <w:br w:type="textWrapping"/>
            </w:r>
            <w:r>
              <w:rPr>
                <w:rFonts w:hint="eastAsia" w:ascii="宋体" w:hAnsi="宋体" w:eastAsia="宋体" w:cs="宋体"/>
                <w:i w:val="0"/>
                <w:color w:val="000000"/>
                <w:kern w:val="0"/>
                <w:sz w:val="20"/>
                <w:szCs w:val="20"/>
                <w:u w:val="none"/>
                <w:lang w:val="en-US" w:eastAsia="zh-CN" w:bidi="ar"/>
              </w:rPr>
              <w:t>（数量）</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金额 </w:t>
            </w:r>
          </w:p>
        </w:tc>
        <w:tc>
          <w:tcPr>
            <w:tcW w:w="5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35"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w:t>
            </w: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建设收储站</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lang w:val="en-US"/>
              </w:rPr>
            </w:pPr>
            <w:r>
              <w:rPr>
                <w:rFonts w:hint="eastAsia" w:ascii="宋体" w:hAnsi="宋体" w:cs="宋体"/>
                <w:i w:val="0"/>
                <w:color w:val="000000"/>
                <w:kern w:val="0"/>
                <w:sz w:val="20"/>
                <w:szCs w:val="20"/>
                <w:u w:val="none"/>
                <w:lang w:val="en-US" w:eastAsia="zh-CN" w:bidi="ar"/>
              </w:rPr>
              <w:t>10</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cs="宋体"/>
                <w:i w:val="0"/>
                <w:color w:val="000000"/>
                <w:kern w:val="0"/>
                <w:sz w:val="20"/>
                <w:szCs w:val="20"/>
                <w:u w:val="none"/>
                <w:lang w:val="en-US" w:eastAsia="zh-CN" w:bidi="ar"/>
              </w:rPr>
              <w:t>20</w:t>
            </w:r>
          </w:p>
        </w:tc>
        <w:tc>
          <w:tcPr>
            <w:tcW w:w="5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88"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1</w:t>
            </w: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城东街道</w:t>
            </w:r>
            <w:r>
              <w:rPr>
                <w:rFonts w:hint="eastAsia" w:ascii="宋体" w:hAnsi="宋体" w:eastAsia="宋体" w:cs="宋体"/>
                <w:i w:val="0"/>
                <w:color w:val="000000"/>
                <w:kern w:val="0"/>
                <w:sz w:val="20"/>
                <w:szCs w:val="20"/>
                <w:u w:val="none"/>
                <w:lang w:val="en-US" w:eastAsia="zh-CN" w:bidi="ar"/>
              </w:rPr>
              <w:t>收储站</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2</w:t>
            </w:r>
          </w:p>
        </w:tc>
        <w:tc>
          <w:tcPr>
            <w:tcW w:w="5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88"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2</w:t>
            </w: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城西街道</w:t>
            </w:r>
            <w:r>
              <w:rPr>
                <w:rFonts w:hint="eastAsia" w:ascii="宋体" w:hAnsi="宋体" w:eastAsia="宋体" w:cs="宋体"/>
                <w:i w:val="0"/>
                <w:color w:val="000000"/>
                <w:kern w:val="0"/>
                <w:sz w:val="20"/>
                <w:szCs w:val="20"/>
                <w:u w:val="none"/>
                <w:lang w:val="en-US" w:eastAsia="zh-CN" w:bidi="ar"/>
              </w:rPr>
              <w:t>收储站</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2</w:t>
            </w:r>
          </w:p>
        </w:tc>
        <w:tc>
          <w:tcPr>
            <w:tcW w:w="5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88"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3</w:t>
            </w: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城北街道</w:t>
            </w:r>
            <w:r>
              <w:rPr>
                <w:rFonts w:hint="eastAsia" w:ascii="宋体" w:hAnsi="宋体" w:eastAsia="宋体" w:cs="宋体"/>
                <w:i w:val="0"/>
                <w:color w:val="000000"/>
                <w:kern w:val="0"/>
                <w:sz w:val="20"/>
                <w:szCs w:val="20"/>
                <w:u w:val="none"/>
                <w:lang w:val="en-US" w:eastAsia="zh-CN" w:bidi="ar"/>
              </w:rPr>
              <w:t>收储站</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2</w:t>
            </w:r>
          </w:p>
        </w:tc>
        <w:tc>
          <w:tcPr>
            <w:tcW w:w="5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88"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蒲州镇</w:t>
            </w:r>
            <w:r>
              <w:rPr>
                <w:rFonts w:hint="eastAsia" w:ascii="宋体" w:hAnsi="宋体" w:eastAsia="宋体" w:cs="宋体"/>
                <w:i w:val="0"/>
                <w:color w:val="000000"/>
                <w:kern w:val="0"/>
                <w:sz w:val="20"/>
                <w:szCs w:val="20"/>
                <w:u w:val="none"/>
                <w:lang w:val="en-US" w:eastAsia="zh-CN" w:bidi="ar"/>
              </w:rPr>
              <w:t>收储站</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2</w:t>
            </w:r>
          </w:p>
        </w:tc>
        <w:tc>
          <w:tcPr>
            <w:tcW w:w="5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88"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5</w:t>
            </w: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韩阳镇</w:t>
            </w:r>
            <w:r>
              <w:rPr>
                <w:rFonts w:hint="eastAsia" w:ascii="宋体" w:hAnsi="宋体" w:eastAsia="宋体" w:cs="宋体"/>
                <w:i w:val="0"/>
                <w:color w:val="000000"/>
                <w:kern w:val="0"/>
                <w:sz w:val="20"/>
                <w:szCs w:val="20"/>
                <w:u w:val="none"/>
                <w:lang w:val="en-US" w:eastAsia="zh-CN" w:bidi="ar"/>
              </w:rPr>
              <w:t>收储站</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2</w:t>
            </w:r>
          </w:p>
        </w:tc>
        <w:tc>
          <w:tcPr>
            <w:tcW w:w="5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88"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6</w:t>
            </w: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张营镇</w:t>
            </w:r>
            <w:r>
              <w:rPr>
                <w:rFonts w:hint="eastAsia" w:ascii="宋体" w:hAnsi="宋体" w:eastAsia="宋体" w:cs="宋体"/>
                <w:i w:val="0"/>
                <w:color w:val="000000"/>
                <w:kern w:val="0"/>
                <w:sz w:val="20"/>
                <w:szCs w:val="20"/>
                <w:u w:val="none"/>
                <w:lang w:val="en-US" w:eastAsia="zh-CN" w:bidi="ar"/>
              </w:rPr>
              <w:t>收储站</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2</w:t>
            </w:r>
          </w:p>
        </w:tc>
        <w:tc>
          <w:tcPr>
            <w:tcW w:w="5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88"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7</w:t>
            </w: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开张镇</w:t>
            </w:r>
            <w:r>
              <w:rPr>
                <w:rFonts w:hint="eastAsia" w:ascii="宋体" w:hAnsi="宋体" w:eastAsia="宋体" w:cs="宋体"/>
                <w:i w:val="0"/>
                <w:color w:val="000000"/>
                <w:kern w:val="0"/>
                <w:sz w:val="20"/>
                <w:szCs w:val="20"/>
                <w:u w:val="none"/>
                <w:lang w:val="en-US" w:eastAsia="zh-CN" w:bidi="ar"/>
              </w:rPr>
              <w:t>收储站</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cs="宋体"/>
                <w:i w:val="0"/>
                <w:color w:val="000000"/>
                <w:kern w:val="0"/>
                <w:sz w:val="20"/>
                <w:szCs w:val="20"/>
                <w:u w:val="none"/>
                <w:lang w:val="en-US" w:eastAsia="zh-CN" w:bidi="ar"/>
              </w:rPr>
              <w:t>2</w:t>
            </w:r>
          </w:p>
        </w:tc>
        <w:tc>
          <w:tcPr>
            <w:tcW w:w="5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8"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8</w:t>
            </w: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cs="宋体"/>
                <w:i w:val="0"/>
                <w:color w:val="000000"/>
                <w:kern w:val="0"/>
                <w:sz w:val="20"/>
                <w:szCs w:val="20"/>
                <w:u w:val="none"/>
                <w:lang w:val="en-US" w:eastAsia="zh-CN" w:bidi="ar"/>
              </w:rPr>
              <w:t>虞乡镇</w:t>
            </w:r>
            <w:r>
              <w:rPr>
                <w:rFonts w:hint="eastAsia" w:ascii="宋体" w:hAnsi="宋体" w:eastAsia="宋体" w:cs="宋体"/>
                <w:i w:val="0"/>
                <w:color w:val="000000"/>
                <w:kern w:val="0"/>
                <w:sz w:val="20"/>
                <w:szCs w:val="20"/>
                <w:u w:val="none"/>
                <w:lang w:val="en-US" w:eastAsia="zh-CN" w:bidi="ar"/>
              </w:rPr>
              <w:t>收储站</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cs="宋体"/>
                <w:i w:val="0"/>
                <w:color w:val="000000"/>
                <w:kern w:val="0"/>
                <w:sz w:val="20"/>
                <w:szCs w:val="20"/>
                <w:u w:val="none"/>
                <w:lang w:val="en-US" w:eastAsia="zh-CN" w:bidi="ar"/>
              </w:rPr>
              <w:t>2</w:t>
            </w:r>
          </w:p>
        </w:tc>
        <w:tc>
          <w:tcPr>
            <w:tcW w:w="5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6"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9</w:t>
            </w: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卿头镇</w:t>
            </w:r>
            <w:r>
              <w:rPr>
                <w:rFonts w:hint="eastAsia" w:ascii="宋体" w:hAnsi="宋体" w:eastAsia="宋体" w:cs="宋体"/>
                <w:i w:val="0"/>
                <w:color w:val="000000"/>
                <w:kern w:val="0"/>
                <w:sz w:val="20"/>
                <w:szCs w:val="20"/>
                <w:u w:val="none"/>
                <w:lang w:val="en-US" w:eastAsia="zh-CN" w:bidi="ar"/>
              </w:rPr>
              <w:t>收储站</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2</w:t>
            </w:r>
          </w:p>
        </w:tc>
        <w:tc>
          <w:tcPr>
            <w:tcW w:w="5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2"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10</w:t>
            </w: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栲栳镇</w:t>
            </w:r>
            <w:r>
              <w:rPr>
                <w:rFonts w:hint="eastAsia" w:ascii="宋体" w:hAnsi="宋体" w:eastAsia="宋体" w:cs="宋体"/>
                <w:i w:val="0"/>
                <w:color w:val="000000"/>
                <w:kern w:val="0"/>
                <w:sz w:val="20"/>
                <w:szCs w:val="20"/>
                <w:u w:val="none"/>
                <w:lang w:val="en-US" w:eastAsia="zh-CN" w:bidi="ar"/>
              </w:rPr>
              <w:t>收储站</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2</w:t>
            </w:r>
          </w:p>
        </w:tc>
        <w:tc>
          <w:tcPr>
            <w:tcW w:w="5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40"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r>
              <w:rPr>
                <w:rFonts w:hint="eastAsia" w:ascii="宋体" w:hAnsi="宋体" w:cs="宋体"/>
                <w:i w:val="0"/>
                <w:color w:val="000000"/>
                <w:kern w:val="0"/>
                <w:sz w:val="20"/>
                <w:szCs w:val="20"/>
                <w:u w:val="none"/>
                <w:lang w:val="en-US" w:eastAsia="zh-CN" w:bidi="ar"/>
              </w:rPr>
              <w:t>二</w:t>
            </w:r>
            <w:r>
              <w:rPr>
                <w:rFonts w:hint="eastAsia" w:ascii="宋体" w:hAnsi="宋体" w:eastAsia="宋体" w:cs="宋体"/>
                <w:i w:val="0"/>
                <w:color w:val="000000"/>
                <w:kern w:val="0"/>
                <w:sz w:val="20"/>
                <w:szCs w:val="20"/>
                <w:u w:val="none"/>
                <w:lang w:val="en-US" w:eastAsia="zh-CN" w:bidi="ar"/>
              </w:rPr>
              <w:t>）</w:t>
            </w:r>
          </w:p>
        </w:tc>
        <w:tc>
          <w:tcPr>
            <w:tcW w:w="340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lang w:val="en-US"/>
              </w:rPr>
            </w:pPr>
            <w:r>
              <w:rPr>
                <w:rFonts w:hint="eastAsia" w:ascii="宋体" w:hAnsi="宋体" w:eastAsia="宋体" w:cs="宋体"/>
                <w:i w:val="0"/>
                <w:color w:val="000000"/>
                <w:kern w:val="0"/>
                <w:sz w:val="18"/>
                <w:szCs w:val="18"/>
                <w:u w:val="none"/>
                <w:lang w:val="en-US" w:eastAsia="zh-CN" w:bidi="ar"/>
              </w:rPr>
              <w:t>收购补助</w:t>
            </w:r>
          </w:p>
        </w:tc>
        <w:tc>
          <w:tcPr>
            <w:tcW w:w="5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反光膜</w:t>
            </w:r>
          </w:p>
        </w:tc>
        <w:tc>
          <w:tcPr>
            <w:tcW w:w="900"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120吨</w:t>
            </w:r>
          </w:p>
        </w:tc>
        <w:tc>
          <w:tcPr>
            <w:tcW w:w="855"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28万元</w:t>
            </w:r>
          </w:p>
        </w:tc>
        <w:tc>
          <w:tcPr>
            <w:tcW w:w="5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捡拾农膜人员补助1.0元/公斤，收储站补助0.6元/公斤</w:t>
            </w:r>
            <w:r>
              <w:rPr>
                <w:rFonts w:hint="eastAsia" w:ascii="宋体" w:hAnsi="宋体" w:cs="宋体"/>
                <w:i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地膜</w:t>
            </w:r>
          </w:p>
        </w:tc>
        <w:tc>
          <w:tcPr>
            <w:tcW w:w="90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855"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捡拾农膜人员补助2.0元/公斤，收储站补助0.6元/公斤</w:t>
            </w:r>
            <w:r>
              <w:rPr>
                <w:rFonts w:hint="eastAsia" w:ascii="宋体" w:hAnsi="宋体" w:cs="宋体"/>
                <w:i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0"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棚膜</w:t>
            </w:r>
          </w:p>
        </w:tc>
        <w:tc>
          <w:tcPr>
            <w:tcW w:w="900"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855"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捡拾农膜人员补助0.6元/公斤，收储站补助0.6元/公斤</w:t>
            </w:r>
            <w:r>
              <w:rPr>
                <w:rFonts w:hint="eastAsia" w:ascii="宋体" w:hAnsi="宋体" w:cs="宋体"/>
                <w:i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0"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（三）</w:t>
            </w: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工作经费</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5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宣传1万元，</w:t>
            </w:r>
            <w:r>
              <w:rPr>
                <w:rFonts w:hint="eastAsia" w:ascii="宋体" w:hAnsi="宋体" w:cs="宋体"/>
                <w:i w:val="0"/>
                <w:color w:val="000000"/>
                <w:kern w:val="0"/>
                <w:sz w:val="20"/>
                <w:szCs w:val="20"/>
                <w:u w:val="none"/>
                <w:lang w:val="en-US" w:eastAsia="zh-CN" w:bidi="ar"/>
              </w:rPr>
              <w:t>验收、</w:t>
            </w:r>
            <w:r>
              <w:rPr>
                <w:rFonts w:hint="eastAsia" w:ascii="宋体" w:hAnsi="宋体" w:eastAsia="宋体" w:cs="宋体"/>
                <w:i w:val="0"/>
                <w:color w:val="000000"/>
                <w:kern w:val="0"/>
                <w:sz w:val="20"/>
                <w:szCs w:val="20"/>
                <w:u w:val="none"/>
                <w:lang w:val="en-US" w:eastAsia="zh-CN" w:bidi="ar"/>
              </w:rPr>
              <w:t>审计、绩效评价1万元。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5"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七</w:t>
            </w: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实施年限</w:t>
            </w:r>
          </w:p>
        </w:tc>
        <w:tc>
          <w:tcPr>
            <w:tcW w:w="706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1年　</w:t>
            </w:r>
          </w:p>
        </w:tc>
      </w:tr>
    </w:tbl>
    <w:p>
      <w:pPr>
        <w:pStyle w:val="2"/>
        <w:jc w:val="both"/>
        <w:rPr>
          <w:rFonts w:hint="eastAsia"/>
          <w:lang w:val="en-US" w:eastAsia="zh-CN"/>
        </w:rPr>
      </w:pPr>
    </w:p>
    <w:p/>
    <w:sectPr>
      <w:headerReference r:id="rId3" w:type="default"/>
      <w:footerReference r:id="rId4" w:type="default"/>
      <w:pgSz w:w="11906" w:h="16838"/>
      <w:pgMar w:top="1984" w:right="1531" w:bottom="1871" w:left="1587" w:header="851" w:footer="1417" w:gutter="0"/>
      <w:pgNumType w:fmt="numberInDash"/>
      <w:cols w:space="720" w:num="1"/>
      <w:rtlGutter w:val="0"/>
      <w:docGrid w:type="lines" w:linePitch="31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MingLiU">
    <w:panose1 w:val="02020509000000000000"/>
    <w:charset w:val="88"/>
    <w:family w:val="modern"/>
    <w:pitch w:val="default"/>
    <w:sig w:usb0="A00002FF" w:usb1="28CFFCFA" w:usb2="00000016" w:usb3="00000000" w:csb0="00100001" w:csb1="00000000"/>
  </w:font>
  <w:font w:name="仿宋_GB2312">
    <w:panose1 w:val="02010609030101010101"/>
    <w:charset w:val="86"/>
    <w:family w:val="modern"/>
    <w:pitch w:val="default"/>
    <w:sig w:usb0="00000001" w:usb1="080E0000" w:usb2="00000000" w:usb3="00000000" w:csb0="00040000" w:csb1="00000000"/>
  </w:font>
  <w:font w:name="Batang">
    <w:panose1 w:val="02030600000101010101"/>
    <w:charset w:val="81"/>
    <w:family w:val="auto"/>
    <w:pitch w:val="default"/>
    <w:sig w:usb0="B00002AF" w:usb1="69D77CFB" w:usb2="00000030" w:usb3="00000000" w:csb0="4008009F" w:csb1="DFD70000"/>
  </w:font>
  <w:font w:name="方正小标宋简体">
    <w:altName w:val="仿宋_GB2312"/>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eastAsia="宋体"/>
                              <w:sz w:val="1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D742E4"/>
    <w:multiLevelType w:val="singleLevel"/>
    <w:tmpl w:val="5DD742E4"/>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234104"/>
    <w:rsid w:val="0EA6579C"/>
    <w:rsid w:val="14DE0AB9"/>
    <w:rsid w:val="15E02205"/>
    <w:rsid w:val="16165BA2"/>
    <w:rsid w:val="182B3743"/>
    <w:rsid w:val="19E067E3"/>
    <w:rsid w:val="222703FF"/>
    <w:rsid w:val="23DE03CE"/>
    <w:rsid w:val="25D91B10"/>
    <w:rsid w:val="2EC51523"/>
    <w:rsid w:val="2F9B376F"/>
    <w:rsid w:val="301518FA"/>
    <w:rsid w:val="38AD4901"/>
    <w:rsid w:val="3EBD3F5B"/>
    <w:rsid w:val="41FC241A"/>
    <w:rsid w:val="49A05255"/>
    <w:rsid w:val="4B213E23"/>
    <w:rsid w:val="5D330A93"/>
    <w:rsid w:val="5F6C0ED8"/>
    <w:rsid w:val="620D1115"/>
    <w:rsid w:val="6678780C"/>
    <w:rsid w:val="6CC46E9E"/>
    <w:rsid w:val="6E7F4A62"/>
    <w:rsid w:val="6E8461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Title"/>
    <w:basedOn w:val="1"/>
    <w:next w:val="1"/>
    <w:qFormat/>
    <w:uiPriority w:val="0"/>
    <w:pPr>
      <w:spacing w:before="240" w:after="60"/>
      <w:jc w:val="center"/>
      <w:outlineLvl w:val="0"/>
    </w:pPr>
    <w:rPr>
      <w:rFonts w:ascii="Arial" w:hAnsi="Arial" w:eastAsia="宋体" w:cs="Arial"/>
      <w:b/>
      <w:bCs/>
      <w:sz w:val="32"/>
      <w:szCs w:val="32"/>
    </w:rPr>
  </w:style>
  <w:style w:type="paragraph" w:styleId="3">
    <w:name w:val="Body Text"/>
    <w:basedOn w:val="1"/>
    <w:qFormat/>
    <w:uiPriority w:val="0"/>
    <w:pPr>
      <w:spacing w:after="120"/>
    </w:pPr>
  </w:style>
  <w:style w:type="paragraph" w:styleId="4">
    <w:name w:val="footer"/>
    <w:basedOn w:val="1"/>
    <w:qFormat/>
    <w:uiPriority w:val="99"/>
    <w:pPr>
      <w:tabs>
        <w:tab w:val="center" w:pos="4153"/>
        <w:tab w:val="right" w:pos="8306"/>
      </w:tabs>
      <w:snapToGrid w:val="0"/>
    </w:pPr>
    <w:rPr>
      <w:sz w:val="18"/>
      <w:szCs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customStyle="1" w:styleId="8">
    <w:name w:val="正文文本1"/>
    <w:basedOn w:val="1"/>
    <w:link w:val="16"/>
    <w:qFormat/>
    <w:uiPriority w:val="99"/>
    <w:pPr>
      <w:shd w:val="clear" w:color="auto" w:fill="FFFFFF"/>
      <w:spacing w:before="240" w:line="600" w:lineRule="exact"/>
      <w:ind w:hanging="800"/>
      <w:jc w:val="right"/>
    </w:pPr>
    <w:rPr>
      <w:rFonts w:ascii="Arial Unicode MS" w:hAnsi="Arial Unicode MS" w:eastAsia="Arial Unicode MS" w:cs="Arial Unicode MS"/>
      <w:spacing w:val="20"/>
    </w:rPr>
  </w:style>
  <w:style w:type="paragraph" w:customStyle="1" w:styleId="9">
    <w:name w:val="标题 #2 (2)"/>
    <w:basedOn w:val="1"/>
    <w:qFormat/>
    <w:uiPriority w:val="99"/>
    <w:pPr>
      <w:shd w:val="clear" w:color="auto" w:fill="FFFFFF"/>
      <w:spacing w:after="120" w:line="240" w:lineRule="atLeast"/>
      <w:outlineLvl w:val="1"/>
    </w:pPr>
    <w:rPr>
      <w:rFonts w:ascii="MingLiU" w:hAnsi="MingLiU" w:eastAsia="MingLiU" w:cs="MingLiU"/>
      <w:spacing w:val="-10"/>
      <w:sz w:val="32"/>
      <w:szCs w:val="32"/>
    </w:rPr>
  </w:style>
  <w:style w:type="paragraph" w:customStyle="1" w:styleId="10">
    <w:name w:val="标题 #2"/>
    <w:basedOn w:val="1"/>
    <w:qFormat/>
    <w:uiPriority w:val="99"/>
    <w:pPr>
      <w:shd w:val="clear" w:color="auto" w:fill="FFFFFF"/>
      <w:spacing w:after="480" w:line="240" w:lineRule="atLeast"/>
      <w:jc w:val="distribute"/>
      <w:outlineLvl w:val="1"/>
    </w:pPr>
    <w:rPr>
      <w:rFonts w:ascii="MingLiU" w:hAnsi="MingLiU" w:eastAsia="MingLiU" w:cs="MingLiU"/>
      <w:spacing w:val="-10"/>
      <w:sz w:val="32"/>
      <w:szCs w:val="32"/>
    </w:rPr>
  </w:style>
  <w:style w:type="character" w:customStyle="1" w:styleId="11">
    <w:name w:val="标题 #3 + Times New Roman"/>
    <w:basedOn w:val="12"/>
    <w:qFormat/>
    <w:uiPriority w:val="99"/>
    <w:rPr>
      <w:rFonts w:ascii="Times New Roman" w:hAnsi="Times New Roman" w:cs="Times New Roman"/>
      <w:color w:val="000000"/>
      <w:spacing w:val="0"/>
      <w:w w:val="100"/>
      <w:position w:val="0"/>
      <w:sz w:val="26"/>
      <w:szCs w:val="26"/>
      <w:lang w:val="zh-CN"/>
    </w:rPr>
  </w:style>
  <w:style w:type="character" w:customStyle="1" w:styleId="12">
    <w:name w:val="标题 #3_"/>
    <w:basedOn w:val="7"/>
    <w:link w:val="13"/>
    <w:qFormat/>
    <w:locked/>
    <w:uiPriority w:val="99"/>
    <w:rPr>
      <w:rFonts w:ascii="MingLiU" w:hAnsi="MingLiU" w:eastAsia="MingLiU" w:cs="MingLiU"/>
      <w:b/>
      <w:bCs/>
      <w:spacing w:val="30"/>
      <w:sz w:val="25"/>
      <w:szCs w:val="25"/>
    </w:rPr>
  </w:style>
  <w:style w:type="paragraph" w:customStyle="1" w:styleId="13">
    <w:name w:val="标题 #3"/>
    <w:basedOn w:val="1"/>
    <w:link w:val="12"/>
    <w:qFormat/>
    <w:uiPriority w:val="99"/>
    <w:pPr>
      <w:shd w:val="clear" w:color="auto" w:fill="FFFFFF"/>
      <w:spacing w:before="480" w:after="480" w:line="240" w:lineRule="atLeast"/>
      <w:ind w:firstLine="520"/>
      <w:jc w:val="distribute"/>
      <w:outlineLvl w:val="2"/>
    </w:pPr>
    <w:rPr>
      <w:rFonts w:ascii="MingLiU" w:hAnsi="MingLiU" w:eastAsia="MingLiU" w:cs="MingLiU"/>
      <w:b/>
      <w:bCs/>
      <w:spacing w:val="30"/>
      <w:sz w:val="25"/>
      <w:szCs w:val="25"/>
    </w:rPr>
  </w:style>
  <w:style w:type="paragraph" w:customStyle="1" w:styleId="14">
    <w:name w:val="样式 样式 仿宋_GB2312 三号 + Times New Roman 首行缩进:  2 字符"/>
    <w:basedOn w:val="1"/>
    <w:qFormat/>
    <w:uiPriority w:val="0"/>
    <w:pPr>
      <w:spacing w:line="600" w:lineRule="exact"/>
      <w:ind w:firstLine="200" w:firstLineChars="200"/>
    </w:pPr>
    <w:rPr>
      <w:rFonts w:eastAsia="仿宋_GB2312" w:cs="宋体"/>
      <w:sz w:val="32"/>
      <w:szCs w:val="20"/>
    </w:rPr>
  </w:style>
  <w:style w:type="character" w:customStyle="1" w:styleId="15">
    <w:name w:val="正文文本 + Batang2"/>
    <w:basedOn w:val="16"/>
    <w:qFormat/>
    <w:uiPriority w:val="99"/>
    <w:rPr>
      <w:rFonts w:ascii="Batang" w:hAnsi="Batang" w:eastAsia="Batang" w:cs="Batang"/>
      <w:color w:val="000000"/>
      <w:spacing w:val="0"/>
      <w:w w:val="100"/>
      <w:position w:val="0"/>
      <w:sz w:val="19"/>
      <w:szCs w:val="19"/>
      <w:lang w:val="zh-CN"/>
    </w:rPr>
  </w:style>
  <w:style w:type="character" w:customStyle="1" w:styleId="16">
    <w:name w:val="正文文本_"/>
    <w:basedOn w:val="7"/>
    <w:link w:val="8"/>
    <w:qFormat/>
    <w:locked/>
    <w:uiPriority w:val="99"/>
    <w:rPr>
      <w:rFonts w:ascii="Arial Unicode MS" w:hAnsi="Arial Unicode MS" w:eastAsia="Arial Unicode MS" w:cs="Arial Unicode MS"/>
      <w:spacing w:val="20"/>
    </w:rPr>
  </w:style>
  <w:style w:type="character" w:customStyle="1" w:styleId="17">
    <w:name w:val="正文文本 + MingLiU"/>
    <w:basedOn w:val="16"/>
    <w:qFormat/>
    <w:uiPriority w:val="99"/>
    <w:rPr>
      <w:rFonts w:ascii="MingLiU" w:hAnsi="MingLiU" w:eastAsia="MingLiU" w:cs="MingLiU"/>
      <w:color w:val="000000"/>
      <w:spacing w:val="30"/>
      <w:w w:val="100"/>
      <w:position w:val="0"/>
      <w:sz w:val="19"/>
      <w:szCs w:val="19"/>
      <w:lang w:val="zh-CN"/>
    </w:rPr>
  </w:style>
  <w:style w:type="character" w:customStyle="1" w:styleId="18">
    <w:name w:val="正文文本 + Batang1"/>
    <w:basedOn w:val="16"/>
    <w:qFormat/>
    <w:uiPriority w:val="99"/>
    <w:rPr>
      <w:rFonts w:ascii="Batang" w:hAnsi="Batang" w:eastAsia="Batang" w:cs="Batang"/>
      <w:color w:val="000000"/>
      <w:spacing w:val="0"/>
      <w:w w:val="100"/>
      <w:position w:val="0"/>
      <w:sz w:val="24"/>
      <w:szCs w:val="24"/>
      <w:lang w:val="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40</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2021-09-07T08:37:00Z</dcterms:created>
  <dc:creator>Administrator</dc:creator>
  <cp:lastModifiedBy>Administrator</cp:lastModifiedBy>
  <cp:lastPrinted>2021-09-15T01:00:00Z</cp:lastPrinted>
  <dcterms:modified xsi:type="dcterms:W3CDTF">2021-09-28T00:53:08Z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52CBA34D97F64BE08269FC55A5C92F05</vt:lpwstr>
  </property>
</Properties>
</file>