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hd w:val="clear"/>
        <w:jc w:val="both"/>
        <w:rPr>
          <w:rFonts w:hint="eastAsia" w:ascii="仿宋" w:hAnsi="仿宋" w:eastAsia="仿宋" w:cs="仿宋"/>
          <w:b w:val="0"/>
          <w:bCs w:val="0"/>
          <w:color w:val="auto"/>
          <w:sz w:val="40"/>
          <w:szCs w:val="4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40"/>
          <w:szCs w:val="40"/>
          <w:lang w:val="en-US" w:eastAsia="zh-CN"/>
        </w:rPr>
        <w:t>附件1</w:t>
      </w:r>
      <w:bookmarkStart w:id="0" w:name="_GoBack"/>
      <w:bookmarkEnd w:id="0"/>
    </w:p>
    <w:p>
      <w:pPr>
        <w:shd w:val="clear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</w:rPr>
        <w:t>本次检验项目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一、炒货食品及坚果制品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（一）抽检依据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抽检依据是 GB 2760 《食品安全国家标准 食品添加剂使用标准》、GB 5009.28《食品安全国家标准 食品中苯甲酸、山梨酸和糖精钠的测定》等标准及产品明示标准和指标的要求。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（二）检验项目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其他炒货食品及坚果制品检验项目为酸价,过氧化值(以脂肪计),铅(以Pb 计),糖精钠(以糖精计),甜蜜素,大肠菌群。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二、豆制品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（一）抽检依据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抽检依据是 GB 5009.28《食品安全国家标准 食品中苯甲酸、山梨酸和糖精钠的测定》、GB 5009.182 《食品安全国家标准 食品中铝的测定》，GB 2712-2014《食品安全国家标准 豆制品》等标准及产品明示标准和指标的要求。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（二）检验项目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腐乳、豆豉、纳豆等检验项目为苯甲酸及其钠盐(以苯甲酸计),山梨酸及其钾盐(以山梨酸计),脱氢乙酸及其钠盐,丙酸及其钠盐、钙盐,糖精钠(以糖精计),甜蜜素,大肠菌群,金黄色葡萄球菌。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三、蜂产品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（一）抽检依据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抽检依据是GB 5009.28 《食品安全国家标准 食品中苯甲酸、山梨酸和糖精钠的测定》、GB 2762-2017《食品安全国家标准 食品中污染物限量》等标准及产品明示标准和指标的要求。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（二）检验项目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蜂蜜检验项目为果糖和葡萄糖,蔗糖,菌落总数,霉菌计数,嗜渗酵母计数,甲硝唑,地美硝唑,氯霉素,洛硝达唑,呋喃唑酮代谢物,呋喃妥因代谢物,呋喃西林代谢物,山梨酸及其钾盐(以山梨酸计)。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四、糕点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（一）抽检依据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抽检依据是GB 2760-2014《食品安全国家标准 食品添加剂使用标准》，GB 7099-2015《食品安全国家标准 糕点、面包》，GB 2762-2017《食品安全国家标准 食品中污染物限量》等标准及产品明示标准和指标的要求。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（二）检验项目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月饼检验项目为酸价,过氧化值(以脂肪计),糖精钠(以糖精计),苯甲酸及其钠盐(以苯甲酸计),山梨酸及其钾盐(以山梨酸计),铝的残留量(干样品，以Al 计),丙酸及其钠盐、钙盐,脱氢乙酸及其钠。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五、罐头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（</w:t>
      </w:r>
      <w:r>
        <w:rPr>
          <w:rFonts w:hint="eastAsia" w:ascii="楷体" w:hAnsi="楷体" w:eastAsia="楷体" w:cs="楷体"/>
          <w:sz w:val="32"/>
          <w:szCs w:val="32"/>
        </w:rPr>
        <w:t>一）抽检依据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抽检依据是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GB 2762-2012《食品安全国家标准 食品中污染物限量》、GB 2760-2014《食品安全国家标准 食品添加剂使用标准》、GB 5009.28 《食品安全国家标准 食品中苯甲酸、山梨酸和糖精钠的测定》</w:t>
      </w:r>
      <w:r>
        <w:rPr>
          <w:rFonts w:hint="eastAsia" w:ascii="仿宋" w:hAnsi="仿宋" w:eastAsia="仿宋" w:cs="仿宋"/>
          <w:sz w:val="32"/>
          <w:szCs w:val="32"/>
        </w:rPr>
        <w:t>等标准及产品明示标准和指标的要求。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楷体" w:hAnsi="楷体" w:eastAsia="楷体" w:cs="楷体"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sz w:val="32"/>
          <w:szCs w:val="32"/>
          <w:lang w:eastAsia="zh-CN"/>
        </w:rPr>
        <w:t>（二）检验项目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水果类罐头检验项目为柠檬黄,日落黄,苋菜红,胭脂红,赤藓红,诱惑红,亮蓝,苯甲酸及其钠盐(以苯甲酸计),山梨酸及其钾盐(以山梨酸计),糖精钠(以糖精计),甜蜜素,阿斯巴甜,商业无菌。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六、酒类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sz w:val="32"/>
          <w:szCs w:val="32"/>
        </w:rPr>
        <w:t>一）抽检依据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抽检依据是GB 2760-2014《食品安全国家标准 食品添加剂使用标准》、GB 5009.28 《食品安全国家标准 食品中苯甲酸、山梨酸和糖精钠的测定》、等标准及产品明示标准和指标的要求。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（二）检验项目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白酒、白酒(液态)、白酒(原酒)检验项目为铅(以Pb 计),甲醇,氰化物,糖精钠(以糖精计),甜蜜素,三氯蔗糖,酒精度。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七、粮食加工品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（</w:t>
      </w:r>
      <w:r>
        <w:rPr>
          <w:rFonts w:hint="eastAsia" w:ascii="楷体" w:hAnsi="楷体" w:eastAsia="楷体" w:cs="楷体"/>
          <w:sz w:val="32"/>
          <w:szCs w:val="32"/>
        </w:rPr>
        <w:t>一）抽检依据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抽检依据是GB 2762-2017《食品安全国家标准 食品中污染物限量》，GB 2761-2017《食品安全国家标准 食品中真菌毒素限量》，卫生部公告[2011]第4号 卫生部等7部门《关于撤销食品添加剂过氧化苯甲酰、过氧化钙的公告》等标准及产品明示标准和指标的要求。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（二）检验项目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通用小麦粉、专用小麦粉检验项目为镉(以 Cd 计),苯并[a]芘,玉米赤霉烯酮,脱氧雪腐镰刀菌烯醇,赭曲霉毒素A,黄曲霉毒素B1,过氧化苯甲酰。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八、肉制品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（</w:t>
      </w:r>
      <w:r>
        <w:rPr>
          <w:rFonts w:hint="eastAsia" w:ascii="楷体" w:hAnsi="楷体" w:eastAsia="楷体" w:cs="楷体"/>
          <w:sz w:val="32"/>
          <w:szCs w:val="32"/>
        </w:rPr>
        <w:t>一）抽检依据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抽检依据是 G整顿办函[2011]1号《食品中可能违法添加的非食用物质和易滥用的食品添加剂品种名单(第五批)》，GB 2762-2012《食品安全国家标准 食品中污染物限量》、GB 2760-2014《食品安全国家标准 食品添加剂使用标准》等标准及产品明示标准和指标的要求。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（二）检验项目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酱卤肉制品检验项目为铅(以Pb 计),镉(以 Cd 计),铬(以 Cr 计),总砷(以As 计),氯霉素,酸性橙Ⅱ,亚硝酸盐,苯甲酸及其钠盐(以苯甲酸计),山梨酸及其钾盐(以山梨酸计),脱氢乙酸及其钠盐,胭脂红,糖精钠(以糖精计),菌落总数,大肠菌群,沙门氏菌,金黄色葡萄球菌,单核细胞增生李斯特氏菌。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九</w:t>
      </w:r>
      <w:r>
        <w:rPr>
          <w:rFonts w:hint="eastAsia" w:ascii="黑体" w:hAnsi="黑体" w:eastAsia="黑体" w:cs="黑体"/>
          <w:sz w:val="32"/>
          <w:szCs w:val="32"/>
        </w:rPr>
        <w:t>、乳制品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（一）抽检依据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抽检依据是《食品安全国家标准 灭菌乳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》</w:t>
      </w:r>
      <w:r>
        <w:rPr>
          <w:rFonts w:hint="eastAsia" w:ascii="仿宋" w:hAnsi="仿宋" w:eastAsia="仿宋" w:cs="仿宋"/>
          <w:sz w:val="32"/>
          <w:szCs w:val="32"/>
        </w:rPr>
        <w:t>（GB 25190-2010）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、《</w:t>
      </w:r>
      <w:r>
        <w:rPr>
          <w:rFonts w:hint="eastAsia" w:ascii="仿宋" w:hAnsi="仿宋" w:eastAsia="仿宋" w:cs="仿宋"/>
          <w:sz w:val="32"/>
          <w:szCs w:val="32"/>
        </w:rPr>
        <w:t>食品安全国家标准 发酵乳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》（</w:t>
      </w:r>
      <w:r>
        <w:rPr>
          <w:rFonts w:hint="eastAsia" w:ascii="仿宋" w:hAnsi="仿宋" w:eastAsia="仿宋" w:cs="仿宋"/>
          <w:sz w:val="32"/>
          <w:szCs w:val="32"/>
        </w:rPr>
        <w:t>GB 19302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）、《食品安全国家标准 巴氏杀菌乳》（GB 19645 ）</w:t>
      </w:r>
      <w:r>
        <w:rPr>
          <w:rFonts w:hint="eastAsia" w:ascii="仿宋" w:hAnsi="仿宋" w:eastAsia="仿宋" w:cs="仿宋"/>
          <w:sz w:val="32"/>
          <w:szCs w:val="32"/>
        </w:rPr>
        <w:t>等标准及产品明示标准和指标的要求。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二</w:t>
      </w:r>
      <w:r>
        <w:rPr>
          <w:rFonts w:hint="eastAsia" w:ascii="楷体" w:hAnsi="楷体" w:eastAsia="楷体" w:cs="楷体"/>
          <w:sz w:val="32"/>
          <w:szCs w:val="32"/>
          <w:lang w:eastAsia="zh-CN"/>
        </w:rPr>
        <w:t>）</w:t>
      </w:r>
      <w:r>
        <w:rPr>
          <w:rFonts w:hint="eastAsia" w:ascii="楷体" w:hAnsi="楷体" w:eastAsia="楷体" w:cs="楷体"/>
          <w:sz w:val="32"/>
          <w:szCs w:val="32"/>
        </w:rPr>
        <w:t>检验项目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1.调制乳检验项目为蛋白质,三聚氰胺,菌落总数,大肠菌群。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2.灭菌乳检验项目为蛋白质,三聚氰胺,菌落总数,大肠菌群。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3.全脂乳粉、脱脂乳粉、部分脱脂乳粉、调制乳粉检验项目为蛋白质,三聚氰胺,菌落总数,大肠菌群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十、食用油、油脂及其制品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（</w:t>
      </w:r>
      <w:r>
        <w:rPr>
          <w:rFonts w:hint="eastAsia" w:ascii="楷体" w:hAnsi="楷体" w:eastAsia="楷体" w:cs="楷体"/>
          <w:sz w:val="32"/>
          <w:szCs w:val="32"/>
        </w:rPr>
        <w:t>一）抽检依据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抽检依据是GB 2716-2018《食品安全国家标准 植物油》，BJS 201708 《食用植物油中乙基麦芽酚的测定》，GB 2762-2017《食品安全国家标准 食品中污染物限量》等标准及产品明示标准和指标的要求。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（二）检验项目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1.食用植物调和油检验项目为酸价,过氧化值,苯并[a]芘,溶剂残留量,特丁基对苯二酚(TBHQ),乙基麦芽酚。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2.芝麻油检验项目为过氧化值,苯并[a]芘,乙基麦芽酚,溶剂残留量,酸价。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3.其他食用植物油(半精炼、全精炼）检验项目为过氧化值,铅(以Pb 计),苯并[a]芘,溶剂残留量,特丁基对苯二酚(TBHQ),酸值(KOH)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十一、水果制品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（</w:t>
      </w:r>
      <w:r>
        <w:rPr>
          <w:rFonts w:hint="eastAsia" w:ascii="楷体" w:hAnsi="楷体" w:eastAsia="楷体" w:cs="楷体"/>
          <w:sz w:val="32"/>
          <w:szCs w:val="32"/>
        </w:rPr>
        <w:t>一）抽检依据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抽检依据是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GB 2760-2014《食品安全国家标准 食品添加剂使用标准》，GB 5009.28 《食品安全国家标准 食品中苯甲酸、山梨酸和糖精钠的测定》、食品安全国家标准 食品中苯甲酸、山梨酸和糖精钠的测定</w:t>
      </w:r>
      <w:r>
        <w:rPr>
          <w:rFonts w:hint="eastAsia" w:ascii="仿宋" w:hAnsi="仿宋" w:eastAsia="仿宋" w:cs="仿宋"/>
          <w:sz w:val="32"/>
          <w:szCs w:val="32"/>
        </w:rPr>
        <w:t>等标准及产品明示标准和指标的要求。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（二）检验项目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蜜饯类、凉果类、果脯类、话化类、果糕类检验项目为铅(以Pb 计),苯甲酸及其钠盐(以苯甲酸计),山梨酸及其钾盐(以山梨酸计),脱氢乙酸及其钠盐,糖精钠(以糖精计),甜蜜素,胭脂红,菌落总数,大肠菌群,霉菌,苋菜红。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十二、糖果制品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（一）抽检依据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抽检依据是GB 5009.28 《食品安全国家标准 食品中苯甲酸、山梨酸和糖精钠的测定》、GB 2762-2017《食品安全国家标准 食品中污染物限量》等标准及产品明示标准和指标的要求。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（二）检验项目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糖果检验项目为菌落总数,大肠菌群,铅(以Pb 计),糖精钠(以糖精计),日落黄。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十三、调味品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（</w:t>
      </w:r>
      <w:r>
        <w:rPr>
          <w:rFonts w:hint="eastAsia" w:ascii="楷体" w:hAnsi="楷体" w:eastAsia="楷体" w:cs="楷体"/>
          <w:sz w:val="32"/>
          <w:szCs w:val="32"/>
        </w:rPr>
        <w:t>一）抽检依据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抽检依据是GB 29921-2013《食品安全国家标准 食品中致病菌限量》、GB 2762-2017《食品安全国家标准 食品中污染物限量》、GB 2760-2014《食品安全国家标准 食品添加剂使用标准》等标准及产品明示标准和指标的要求。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（二）检验项目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1.黄豆酱、甜面酱等检验项目为氨基酸态氮,黄曲霉毒素B1,苯甲酸及其钠盐(以苯甲酸计),山梨酸及其钾盐(以山梨酸计),脱氢乙酸及其钠盐,糖精钠(以糖精计),大肠菌群。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2.食醋检验项目为总酸(以乙酸计),苯甲酸及其钠盐(以苯甲酸计),山梨酸及其钾盐(以山梨酸计),脱氢乙酸及其钠盐,对羟基苯甲酸酯类及其钠盐(以对羟基苯甲酸计),糖精钠(以糖精计),菌落总数,不挥发酸(以乳酸计)。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酱油检验项目为氨基酸态氮,全氮(以氮计),铵盐(以占氨基酸态氮的百分比计),苯甲酸及其钠盐(以苯甲酸计),山梨酸及其钾盐(以山梨酸计),脱氢乙酸及其钠盐,对羟基苯甲酸酯类及其钠盐(以对羟基苯甲酸计),糖精钠(以糖精计),菌落总数,大肠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十四、饮料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（一）抽检依据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抽检依据是GB 5009.28 《食品安全国家标准 食品中苯甲酸、山梨酸和糖精钠的测定》、GB 2762-2017《食品安全国家标准 食品中污染物限量》等标准及产品明示标准和指标的要求。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（二）检验项目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茶饮料检验项目为咖啡因,甜蜜素,菌落总数,茶多酚。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7"/>
        <w:numPr>
          <w:ilvl w:val="0"/>
          <w:numId w:val="0"/>
        </w:numPr>
        <w:spacing w:before="33" w:line="235" w:lineRule="auto"/>
        <w:ind w:leftChars="200" w:right="2" w:rightChars="0"/>
        <w:jc w:val="left"/>
        <w:rPr>
          <w:rFonts w:hint="default" w:cs="宋体"/>
          <w:color w:val="auto"/>
          <w:sz w:val="28"/>
          <w:szCs w:val="28"/>
          <w:lang w:val="en-US" w:eastAsia="zh-CN"/>
        </w:rPr>
      </w:pPr>
      <w:r>
        <w:rPr>
          <w:rFonts w:hint="eastAsia" w:cs="宋体"/>
          <w:color w:val="auto"/>
          <w:sz w:val="28"/>
          <w:szCs w:val="28"/>
          <w:lang w:val="en-US" w:eastAsia="zh-CN"/>
        </w:rPr>
        <w:t xml:space="preserve">     </w:t>
      </w:r>
    </w:p>
    <w:p>
      <w:pPr>
        <w:pStyle w:val="7"/>
        <w:numPr>
          <w:ilvl w:val="0"/>
          <w:numId w:val="0"/>
        </w:numPr>
        <w:spacing w:before="33" w:line="235" w:lineRule="auto"/>
        <w:ind w:leftChars="200" w:right="2" w:rightChars="0"/>
        <w:jc w:val="left"/>
        <w:rPr>
          <w:rFonts w:hint="eastAsia" w:cs="宋体"/>
          <w:color w:val="auto"/>
          <w:sz w:val="28"/>
          <w:szCs w:val="28"/>
          <w:lang w:val="en-US" w:eastAsia="zh-CN"/>
        </w:rPr>
      </w:pPr>
    </w:p>
    <w:p>
      <w:pPr>
        <w:pStyle w:val="7"/>
        <w:numPr>
          <w:ilvl w:val="0"/>
          <w:numId w:val="0"/>
        </w:numPr>
        <w:spacing w:before="33" w:line="235" w:lineRule="auto"/>
        <w:ind w:leftChars="200" w:right="2" w:rightChars="0"/>
        <w:jc w:val="left"/>
        <w:rPr>
          <w:lang w:val="en-US" w:eastAsia="zh-CN"/>
        </w:rPr>
      </w:pPr>
      <w:r>
        <w:rPr>
          <w:rFonts w:hint="eastAsia" w:cs="宋体"/>
          <w:color w:val="auto"/>
          <w:sz w:val="28"/>
          <w:szCs w:val="28"/>
          <w:lang w:val="en-US" w:eastAsia="zh-CN"/>
        </w:rPr>
        <w:t xml:space="preserve">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9786335"/>
    <w:rsid w:val="055210EC"/>
    <w:rsid w:val="08DD32A6"/>
    <w:rsid w:val="2FD20386"/>
    <w:rsid w:val="3AC83F4F"/>
    <w:rsid w:val="428108A3"/>
    <w:rsid w:val="44263854"/>
    <w:rsid w:val="47524691"/>
    <w:rsid w:val="59786335"/>
    <w:rsid w:val="5E1D7D99"/>
    <w:rsid w:val="613E1103"/>
    <w:rsid w:val="69E56A6C"/>
    <w:rsid w:val="70A32FD2"/>
    <w:rsid w:val="756B142E"/>
    <w:rsid w:val="76DB238B"/>
    <w:rsid w:val="775A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Lines="0" w:beforeAutospacing="0" w:afterLines="0" w:afterAutospacing="0" w:line="413" w:lineRule="auto"/>
      <w:jc w:val="left"/>
      <w:outlineLvl w:val="1"/>
    </w:pPr>
    <w:rPr>
      <w:rFonts w:ascii="Arial" w:hAnsi="Arial" w:eastAsia="黑体"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Lines="0" w:beforeAutospacing="0" w:afterLines="0" w:afterAutospacing="0" w:line="413" w:lineRule="auto"/>
      <w:jc w:val="left"/>
      <w:outlineLvl w:val="2"/>
    </w:pPr>
  </w:style>
  <w:style w:type="character" w:default="1" w:styleId="5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7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Office_10.1.0.7224_F1E327BC-269C-435d-A152-05C5408002CA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2021-08-03T05:48:00Z</dcterms:created>
  <dc:creator>风落</dc:creator>
  <cp:lastModifiedBy>Administrator</cp:lastModifiedBy>
  <dcterms:modified xsi:type="dcterms:W3CDTF">2021-09-30T02:52:41Z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  <property fmtid="{D5CDD505-2E9C-101B-9397-08002B2CF9AE}" pid="3" name="ICV">
    <vt:lpwstr>62C1E8A518744E65BFD85F3C7FA0D13F</vt:lpwstr>
  </property>
</Properties>
</file>